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lang w:val="en-US" w:eastAsia="zh-CN"/>
        </w:rPr>
        <w:t xml:space="preserve">附件1   </w:t>
      </w:r>
      <w:r>
        <w:rPr>
          <w:rFonts w:ascii="方正小标宋简体" w:eastAsia="方正小标宋简体" w:hAnsi="方正小标宋简体"/>
          <w:sz w:val="36"/>
          <w:szCs w:val="36"/>
        </w:rPr>
        <w:t>2020届毕业生就业派遣方案填报指引</w:t>
      </w:r>
    </w:p>
    <w:p>
      <w:pPr>
        <w:jc w:val="center"/>
        <w:rPr>
          <w:rFonts w:ascii="方正小标宋简体" w:eastAsia="方正小标宋简体" w:hAnsi="方正小标宋简体"/>
          <w:sz w:val="28"/>
          <w:szCs w:val="28"/>
        </w:rPr>
      </w:pPr>
    </w:p>
    <w:p>
      <w:pPr>
        <w:spacing w:line="360" w:lineRule="auto"/>
        <w:ind w:firstLine="560" w:firstLineChars="200"/>
        <w:rPr>
          <w:rFonts w:ascii="仿宋_GB2312" w:eastAsia="仿宋_GB2312" w:hAnsi="仿宋_GB2312" w:cs="仿宋_GB2312"/>
          <w:b/>
          <w:bCs/>
          <w:sz w:val="32"/>
          <w:szCs w:val="40"/>
        </w:rPr>
      </w:pPr>
      <w:r>
        <w:rPr>
          <w:rFonts w:ascii="仿宋_GB2312" w:eastAsia="仿宋_GB2312" w:hAnsi="仿宋_GB2312" w:cs="仿宋_GB2312" w:hint="eastAsia"/>
          <w:b/>
          <w:bCs/>
          <w:sz w:val="28"/>
          <w:szCs w:val="36"/>
        </w:rPr>
        <w:t>一、填报时间</w:t>
      </w:r>
      <w:r>
        <w:rPr>
          <w:rFonts w:ascii="仿宋_GB2312" w:eastAsia="仿宋_GB2312" w:hAnsi="仿宋_GB2312" w:cs="仿宋_GB2312"/>
          <w:b/>
          <w:bCs/>
          <w:sz w:val="32"/>
          <w:szCs w:val="40"/>
        </w:rPr>
        <w:t xml:space="preserve"> </w:t>
      </w:r>
    </w:p>
    <w:p>
      <w:pPr>
        <w:spacing w:line="360" w:lineRule="auto"/>
        <w:ind w:firstLine="560" w:firstLineChars="200"/>
        <w:rPr>
          <w:rFonts w:ascii="仿宋_GB2312" w:eastAsia="仿宋_GB2312" w:hAnsi="仿宋_GB2312" w:cs="仿宋_GB2312"/>
          <w:sz w:val="28"/>
          <w:szCs w:val="36"/>
        </w:rPr>
      </w:pPr>
      <w:r>
        <w:rPr>
          <w:rFonts w:ascii="仿宋_GB2312" w:eastAsia="仿宋_GB2312" w:hAnsi="仿宋_GB2312" w:cs="仿宋_GB2312" w:hint="eastAsia"/>
          <w:sz w:val="28"/>
          <w:szCs w:val="36"/>
        </w:rPr>
        <w:t>即日至</w:t>
      </w:r>
      <w:r>
        <w:rPr>
          <w:rFonts w:ascii="仿宋_GB2312" w:eastAsia="仿宋_GB2312" w:hAnsi="仿宋_GB2312" w:cs="仿宋_GB2312" w:hint="eastAsia"/>
          <w:sz w:val="28"/>
          <w:szCs w:val="36"/>
          <w:lang w:val="en-US" w:eastAsia="zh-CN"/>
        </w:rPr>
        <w:t>2021年5月25日</w:t>
      </w:r>
      <w:r>
        <w:rPr>
          <w:rFonts w:ascii="仿宋_GB2312" w:eastAsia="仿宋_GB2312" w:hAnsi="仿宋_GB2312" w:cs="仿宋_GB2312" w:hint="eastAsia"/>
          <w:sz w:val="28"/>
          <w:szCs w:val="36"/>
        </w:rPr>
        <w:t>。</w:t>
      </w:r>
    </w:p>
    <w:p>
      <w:pPr>
        <w:spacing w:line="360" w:lineRule="auto"/>
        <w:ind w:firstLine="560" w:firstLineChars="200"/>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二、填报范围</w:t>
      </w:r>
    </w:p>
    <w:p>
      <w:pPr>
        <w:spacing w:line="360" w:lineRule="auto"/>
        <w:ind w:firstLine="560" w:firstLineChars="200"/>
        <w:rPr>
          <w:rFonts w:ascii="仿宋_GB2312" w:eastAsia="仿宋_GB2312" w:hAnsi="仿宋_GB2312" w:cs="仿宋_GB2312" w:hint="eastAsia"/>
          <w:sz w:val="28"/>
          <w:szCs w:val="36"/>
          <w:lang w:val="en-US" w:eastAsia="zh-CN"/>
        </w:rPr>
      </w:pPr>
      <w:r>
        <w:rPr>
          <w:rFonts w:ascii="仿宋_GB2312" w:eastAsia="仿宋_GB2312" w:hAnsi="仿宋_GB2312" w:cs="仿宋_GB2312" w:hint="eastAsia"/>
          <w:sz w:val="28"/>
          <w:szCs w:val="36"/>
          <w:lang w:val="en-US" w:eastAsia="zh-CN"/>
        </w:rPr>
        <w:t>2021届毕业生（不包括国际学生）。委培生、定向生的就业方案一律按定向、委培协议执行，非专项计划的定向生、委培生原则上不生成电子报到证。</w:t>
      </w:r>
    </w:p>
    <w:p>
      <w:pPr>
        <w:spacing w:line="360" w:lineRule="auto"/>
        <w:ind w:firstLine="560" w:firstLineChars="200"/>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三、填报重要性</w:t>
      </w:r>
    </w:p>
    <w:p>
      <w:pPr>
        <w:spacing w:line="360" w:lineRule="auto"/>
        <w:ind w:firstLine="560" w:firstLineChars="200"/>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4"/>
          <w:lang w:bidi="ar"/>
        </w:rPr>
        <w:t>毕业生就业派遣方案是生成毕业生报到证及进行毕业生户档派遣的重要依据。满足填报条件的毕业生应仔细阅读指引内容，认真按照各项要求进行填报，检查确认</w:t>
      </w:r>
      <w:r>
        <w:rPr>
          <w:rFonts w:ascii="仿宋_GB2312" w:eastAsia="仿宋_GB2312" w:hAnsi="仿宋_GB2312" w:cs="仿宋_GB2312" w:hint="eastAsia"/>
          <w:color w:val="000000"/>
          <w:kern w:val="0"/>
          <w:sz w:val="28"/>
          <w:szCs w:val="24"/>
          <w:lang w:val="en-US" w:eastAsia="zh-CN" w:bidi="ar"/>
        </w:rPr>
        <w:t>无误</w:t>
      </w:r>
      <w:r>
        <w:rPr>
          <w:rFonts w:ascii="仿宋_GB2312" w:eastAsia="仿宋_GB2312" w:hAnsi="仿宋_GB2312" w:cs="仿宋_GB2312" w:hint="eastAsia"/>
          <w:color w:val="000000"/>
          <w:kern w:val="0"/>
          <w:sz w:val="28"/>
          <w:szCs w:val="24"/>
          <w:lang w:bidi="ar"/>
        </w:rPr>
        <w:t>后提交。</w:t>
      </w:r>
    </w:p>
    <w:p>
      <w:pPr>
        <w:spacing w:line="360" w:lineRule="auto"/>
        <w:ind w:firstLine="560" w:firstLineChars="200"/>
        <w:rPr>
          <w:rFonts w:ascii="仿宋_GB2312" w:eastAsia="仿宋_GB2312" w:hAnsi="仿宋_GB2312" w:cs="仿宋_GB2312"/>
          <w:sz w:val="22"/>
          <w:szCs w:val="28"/>
        </w:rPr>
      </w:pPr>
      <w:r>
        <w:rPr>
          <w:rFonts w:ascii="仿宋_GB2312" w:eastAsia="仿宋_GB2312" w:hAnsi="仿宋_GB2312" w:cs="仿宋_GB2312" w:hint="eastAsia"/>
          <w:b/>
          <w:bCs/>
          <w:sz w:val="28"/>
          <w:szCs w:val="36"/>
        </w:rPr>
        <w:t>四、填报流程</w:t>
      </w:r>
    </w:p>
    <w:p>
      <w:pPr>
        <w:numPr>
          <w:ilvl w:val="255"/>
          <w:numId w:val="0"/>
        </w:numPr>
        <w:spacing w:line="360" w:lineRule="auto"/>
        <w:ind w:firstLine="560" w:firstLineChars="200"/>
        <w:rPr>
          <w:rFonts w:ascii="仿宋_GB2312" w:eastAsia="仿宋_GB2312" w:hAnsi="仿宋_GB2312" w:cs="仿宋_GB2312"/>
          <w:b/>
          <w:bCs/>
          <w:sz w:val="28"/>
          <w:szCs w:val="36"/>
        </w:rPr>
      </w:pPr>
      <w:r>
        <w:rPr>
          <w:rFonts w:ascii="仿宋_GB2312" w:eastAsia="仿宋_GB2312" w:hAnsi="仿宋_GB2312" w:cs="仿宋_GB2312"/>
          <w:b/>
          <w:bCs/>
          <w:sz w:val="28"/>
          <w:szCs w:val="36"/>
        </w:rPr>
        <w:t>（一）</w:t>
      </w:r>
      <w:r>
        <w:rPr>
          <w:rFonts w:ascii="仿宋_GB2312" w:eastAsia="仿宋_GB2312" w:hAnsi="仿宋_GB2312" w:cs="仿宋_GB2312" w:hint="eastAsia"/>
          <w:b/>
          <w:bCs/>
          <w:sz w:val="28"/>
          <w:szCs w:val="36"/>
        </w:rPr>
        <w:t>登录“广东大学生就业创业”小程序</w:t>
      </w:r>
    </w:p>
    <w:p>
      <w:pPr>
        <w:spacing w:line="360" w:lineRule="auto"/>
        <w:ind w:firstLine="560" w:firstLineChars="200"/>
        <w:rPr>
          <w:rFonts w:ascii="仿宋_GB2312" w:eastAsia="仿宋_GB2312" w:hAnsi="仿宋_GB2312" w:cs="仿宋_GB2312"/>
          <w:sz w:val="28"/>
          <w:szCs w:val="36"/>
        </w:rPr>
      </w:pPr>
      <w:r>
        <w:rPr>
          <w:rFonts w:ascii="仿宋_GB2312" w:eastAsia="仿宋_GB2312" w:hAnsi="仿宋_GB2312" w:cs="仿宋_GB2312" w:hint="eastAsia"/>
          <w:sz w:val="28"/>
          <w:szCs w:val="36"/>
        </w:rPr>
        <w:t>满足填报范围的毕业生可登录“广东大学生就业创业”小程序，从首页进入“就业派遣”窗口。如显示“未开启”状态，请先完成生源校对后再登录，如有疑问，可咨询院系负责就业工作老师。</w:t>
      </w:r>
    </w:p>
    <w:p>
      <w:pPr>
        <w:jc w:val="center"/>
        <w:rPr>
          <w:rFonts w:ascii="仿宋_GB2312" w:eastAsia="仿宋_GB2312" w:hAnsi="仿宋_GB2312" w:cs="仿宋_GB2312"/>
          <w:sz w:val="24"/>
          <w:szCs w:val="32"/>
        </w:rPr>
      </w:pPr>
      <w:r>
        <w:drawing>
          <wp:inline distT="0" distB="0" distL="114300" distR="114300">
            <wp:extent cx="5581015" cy="306705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77974" name="图片 1"/>
                    <pic:cNvPicPr>
                      <a:picLocks noChangeAspect="1"/>
                    </pic:cNvPicPr>
                  </pic:nvPicPr>
                  <pic:blipFill>
                    <a:blip xmlns:r="http://schemas.openxmlformats.org/officeDocument/2006/relationships" r:embed="rId6"/>
                    <a:stretch>
                      <a:fillRect/>
                    </a:stretch>
                  </pic:blipFill>
                  <pic:spPr>
                    <a:xfrm>
                      <a:off x="0" y="0"/>
                      <a:ext cx="5581015" cy="3067050"/>
                    </a:xfrm>
                    <a:prstGeom prst="rect">
                      <a:avLst/>
                    </a:prstGeom>
                    <a:noFill/>
                    <a:ln>
                      <a:noFill/>
                    </a:ln>
                  </pic:spPr>
                </pic:pic>
              </a:graphicData>
            </a:graphic>
          </wp:inline>
        </w:drawing>
      </w:r>
    </w:p>
    <w:p>
      <w:pPr>
        <w:numPr>
          <w:ilvl w:val="255"/>
          <w:numId w:val="0"/>
        </w:numPr>
        <w:spacing w:line="360" w:lineRule="auto"/>
        <w:ind w:firstLine="560" w:firstLineChars="200"/>
        <w:jc w:val="left"/>
        <w:rPr>
          <w:rFonts w:ascii="仿宋_GB2312" w:eastAsia="仿宋_GB2312" w:hAnsi="仿宋_GB2312" w:cs="仿宋_GB2312"/>
          <w:b/>
          <w:bCs/>
          <w:sz w:val="28"/>
          <w:szCs w:val="24"/>
        </w:rPr>
      </w:pPr>
      <w:r>
        <w:rPr>
          <w:rFonts w:ascii="仿宋_GB2312" w:eastAsia="仿宋_GB2312" w:hAnsi="仿宋_GB2312" w:cs="仿宋_GB2312"/>
          <w:b/>
          <w:bCs/>
          <w:sz w:val="28"/>
          <w:szCs w:val="24"/>
        </w:rPr>
        <w:t>（二）</w:t>
      </w:r>
      <w:r>
        <w:rPr>
          <w:rFonts w:ascii="仿宋_GB2312" w:eastAsia="仿宋_GB2312" w:hAnsi="仿宋_GB2312" w:cs="仿宋_GB2312" w:hint="eastAsia"/>
          <w:b/>
          <w:bCs/>
          <w:sz w:val="28"/>
          <w:szCs w:val="24"/>
        </w:rPr>
        <w:t>填写“派遣信息”</w:t>
      </w:r>
    </w:p>
    <w:p>
      <w:pPr>
        <w:numPr>
          <w:ilvl w:val="255"/>
          <w:numId w:val="0"/>
        </w:numPr>
        <w:spacing w:line="360" w:lineRule="auto"/>
        <w:ind w:firstLine="560" w:firstLineChars="200"/>
        <w:jc w:val="left"/>
        <w:rPr>
          <w:rFonts w:ascii="仿宋_GB2312" w:eastAsia="仿宋_GB2312" w:hAnsi="仿宋_GB2312" w:cs="仿宋_GB2312" w:hint="eastAsia"/>
          <w:b/>
          <w:bCs/>
          <w:sz w:val="28"/>
          <w:szCs w:val="24"/>
          <w:lang w:val="en-US" w:eastAsia="zh-CN"/>
        </w:rPr>
      </w:pPr>
      <w:r>
        <w:rPr>
          <w:rFonts w:ascii="仿宋_GB2312" w:eastAsia="仿宋_GB2312" w:hAnsi="仿宋_GB2312" w:cs="仿宋_GB2312" w:hint="eastAsia"/>
          <w:b/>
          <w:bCs/>
          <w:sz w:val="28"/>
          <w:szCs w:val="24"/>
          <w:lang w:val="en-US" w:eastAsia="zh-CN"/>
        </w:rPr>
        <w:t>类型一：“正常派遣”</w:t>
      </w:r>
    </w:p>
    <w:p>
      <w:pPr>
        <w:numPr>
          <w:ilvl w:val="255"/>
          <w:numId w:val="0"/>
        </w:numPr>
        <w:spacing w:line="360" w:lineRule="auto"/>
        <w:ind w:firstLine="560" w:firstLineChars="200"/>
        <w:jc w:val="left"/>
        <w:rPr>
          <w:rFonts w:ascii="仿宋_GB2312" w:eastAsia="仿宋_GB2312" w:hAnsi="仿宋_GB2312" w:cs="仿宋_GB2312" w:hint="default"/>
          <w:b w:val="0"/>
          <w:bCs w:val="0"/>
          <w:sz w:val="28"/>
          <w:szCs w:val="24"/>
          <w:lang w:val="en-US" w:eastAsia="zh-CN"/>
        </w:rPr>
      </w:pPr>
      <w:r>
        <w:rPr>
          <w:rFonts w:ascii="仿宋_GB2312" w:eastAsia="仿宋_GB2312" w:hAnsi="仿宋_GB2312" w:cs="仿宋_GB2312" w:hint="default"/>
          <w:b w:val="0"/>
          <w:bCs w:val="0"/>
          <w:sz w:val="28"/>
          <w:szCs w:val="24"/>
          <w:lang w:val="en-US" w:eastAsia="zh-CN"/>
        </w:rPr>
        <w:t>派遣性质为“正常派遣”的，指派遣至就业单位、就业地人才市场和回生源地，</w:t>
      </w:r>
      <w:r>
        <w:rPr>
          <w:rFonts w:ascii="仿宋_GB2312" w:eastAsia="仿宋_GB2312" w:hAnsi="仿宋_GB2312" w:cs="仿宋_GB2312" w:hint="eastAsia"/>
          <w:b w:val="0"/>
          <w:bCs w:val="0"/>
          <w:sz w:val="28"/>
          <w:szCs w:val="24"/>
          <w:lang w:val="en-US" w:eastAsia="zh-CN"/>
        </w:rPr>
        <w:t>也</w:t>
      </w:r>
      <w:r>
        <w:rPr>
          <w:rFonts w:ascii="仿宋_GB2312" w:eastAsia="仿宋_GB2312" w:hAnsi="仿宋_GB2312" w:cs="仿宋_GB2312" w:hint="default"/>
          <w:b w:val="0"/>
          <w:bCs w:val="0"/>
          <w:sz w:val="28"/>
          <w:szCs w:val="24"/>
          <w:lang w:val="en-US" w:eastAsia="zh-CN"/>
        </w:rPr>
        <w:t>包括博士毕业生进入博士后站点工作（可在“具体派遣单位”中备注“博士后”）。</w:t>
      </w:r>
    </w:p>
    <w:p>
      <w:pPr>
        <w:numPr>
          <w:ilvl w:val="0"/>
          <w:numId w:val="1"/>
        </w:numPr>
        <w:spacing w:line="360" w:lineRule="auto"/>
        <w:ind w:firstLine="560" w:firstLineChars="200"/>
        <w:jc w:val="left"/>
        <w:rPr>
          <w:rFonts w:ascii="仿宋_GB2312" w:eastAsia="仿宋_GB2312" w:hAnsi="仿宋_GB2312" w:cs="仿宋_GB2312" w:hint="default"/>
          <w:b/>
          <w:bCs/>
          <w:sz w:val="28"/>
          <w:szCs w:val="24"/>
          <w:lang w:val="en-US" w:eastAsia="zh-CN"/>
        </w:rPr>
      </w:pPr>
      <w:r>
        <w:rPr>
          <w:rFonts w:ascii="仿宋_GB2312" w:eastAsia="仿宋_GB2312" w:hAnsi="仿宋_GB2312" w:cs="仿宋_GB2312" w:hint="eastAsia"/>
          <w:b/>
          <w:bCs/>
          <w:sz w:val="28"/>
          <w:szCs w:val="24"/>
          <w:lang w:val="en-US" w:eastAsia="zh-CN"/>
        </w:rPr>
        <w:t>派遣至就业单位、就业地人才市场</w:t>
      </w:r>
    </w:p>
    <w:p>
      <w:pPr>
        <w:numPr>
          <w:ilvl w:val="255"/>
          <w:numId w:val="0"/>
        </w:numPr>
        <w:spacing w:line="360" w:lineRule="auto"/>
        <w:ind w:firstLine="560" w:firstLineChars="200"/>
        <w:jc w:val="left"/>
        <w:rPr>
          <w:rFonts w:ascii="仿宋_GB2312" w:eastAsia="仿宋_GB2312" w:hAnsi="仿宋_GB2312" w:cs="仿宋_GB2312"/>
          <w:b w:val="0"/>
          <w:bCs w:val="0"/>
          <w:sz w:val="28"/>
          <w:szCs w:val="24"/>
        </w:rPr>
      </w:pPr>
      <w:r>
        <w:rPr>
          <w:rFonts w:ascii="仿宋_GB2312" w:eastAsia="仿宋_GB2312" w:hAnsi="仿宋_GB2312" w:cs="仿宋_GB2312" w:hint="eastAsia"/>
          <w:b w:val="0"/>
          <w:bCs w:val="0"/>
          <w:sz w:val="28"/>
          <w:szCs w:val="24"/>
        </w:rPr>
        <w:t>一般在广东大学生就业创业小程序中完成签约手续（指回传协议书阶段完成）后，电子就业协议模块中派遣信息部分的内容会同步至就业派遣模块。如已同步，可根据下述指引检查是否需补充或修改部分信息；如未同步，则根据实际派遣情况填写相关信息。</w:t>
      </w:r>
    </w:p>
    <w:p>
      <w:pPr>
        <w:pStyle w:val="10"/>
        <w:widowControl/>
        <w:numPr>
          <w:ilvl w:val="0"/>
          <w:numId w:val="0"/>
        </w:numPr>
        <w:spacing w:line="360" w:lineRule="auto"/>
        <w:ind w:left="480" w:leftChars="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i w:val="0"/>
          <w:iCs w:val="0"/>
          <w:color w:val="000000"/>
          <w:kern w:val="0"/>
          <w:sz w:val="28"/>
          <w:szCs w:val="24"/>
          <w:lang w:eastAsia="zh-CN" w:bidi="ar"/>
        </w:rPr>
        <w:t>（</w:t>
      </w:r>
      <w:r>
        <w:rPr>
          <w:rFonts w:ascii="仿宋_GB2312" w:eastAsia="仿宋_GB2312" w:hAnsi="仿宋_GB2312" w:cs="仿宋_GB2312" w:hint="eastAsia"/>
          <w:b/>
          <w:bCs/>
          <w:i w:val="0"/>
          <w:iCs w:val="0"/>
          <w:color w:val="000000"/>
          <w:kern w:val="0"/>
          <w:sz w:val="28"/>
          <w:szCs w:val="24"/>
          <w:lang w:val="en-US" w:eastAsia="zh-CN" w:bidi="ar"/>
        </w:rPr>
        <w:t>1）</w:t>
      </w:r>
      <w:r>
        <w:rPr>
          <w:rFonts w:ascii="仿宋_GB2312" w:eastAsia="仿宋_GB2312" w:hAnsi="仿宋_GB2312" w:cs="仿宋_GB2312" w:hint="eastAsia"/>
          <w:b/>
          <w:bCs/>
          <w:i w:val="0"/>
          <w:iCs w:val="0"/>
          <w:color w:val="000000"/>
          <w:kern w:val="0"/>
          <w:sz w:val="28"/>
          <w:szCs w:val="24"/>
          <w:lang w:bidi="ar"/>
        </w:rPr>
        <w:t>派遣性质</w:t>
      </w:r>
      <w:r>
        <w:rPr>
          <w:rFonts w:ascii="仿宋_GB2312" w:eastAsia="仿宋_GB2312" w:hAnsi="仿宋_GB2312" w:cs="仿宋_GB2312" w:hint="eastAsia"/>
          <w:color w:val="000000"/>
          <w:kern w:val="0"/>
          <w:sz w:val="28"/>
          <w:szCs w:val="24"/>
          <w:lang w:bidi="ar"/>
        </w:rPr>
        <w:t>：必选项，选择“正常派遣”</w:t>
      </w:r>
    </w:p>
    <w:p>
      <w:pPr>
        <w:pStyle w:val="10"/>
        <w:widowControl/>
        <w:numPr>
          <w:ilvl w:val="0"/>
          <w:numId w:val="0"/>
        </w:numPr>
        <w:spacing w:line="360" w:lineRule="auto"/>
        <w:ind w:firstLine="560" w:firstLineChars="20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val="en-US" w:eastAsia="zh-CN" w:bidi="ar"/>
        </w:rPr>
        <w:t>（2）</w:t>
      </w:r>
      <w:r>
        <w:rPr>
          <w:rFonts w:ascii="仿宋_GB2312" w:eastAsia="仿宋_GB2312" w:hAnsi="仿宋_GB2312" w:cs="仿宋_GB2312" w:hint="eastAsia"/>
          <w:b/>
          <w:bCs/>
          <w:color w:val="000000"/>
          <w:kern w:val="0"/>
          <w:sz w:val="28"/>
          <w:szCs w:val="24"/>
          <w:lang w:bidi="ar"/>
        </w:rPr>
        <w:t>主管单位</w:t>
      </w:r>
      <w:r>
        <w:rPr>
          <w:rFonts w:ascii="仿宋_GB2312" w:eastAsia="仿宋_GB2312" w:hAnsi="仿宋_GB2312" w:cs="仿宋_GB2312" w:hint="eastAsia"/>
          <w:color w:val="000000"/>
          <w:kern w:val="0"/>
          <w:sz w:val="28"/>
          <w:szCs w:val="24"/>
          <w:lang w:bidi="ar"/>
        </w:rPr>
        <w:t>：必填项，参见</w:t>
      </w:r>
      <w:r>
        <w:rPr>
          <w:rFonts w:ascii="仿宋_GB2312" w:eastAsia="仿宋_GB2312" w:hAnsi="仿宋_GB2312" w:cs="仿宋_GB2312" w:hint="eastAsia"/>
          <w:color w:val="FF0000"/>
          <w:kern w:val="0"/>
          <w:sz w:val="28"/>
          <w:szCs w:val="24"/>
          <w:lang w:bidi="ar"/>
        </w:rPr>
        <w:t>附表</w:t>
      </w:r>
      <w:r>
        <w:rPr>
          <w:rFonts w:ascii="仿宋_GB2312" w:eastAsia="仿宋_GB2312" w:hAnsi="仿宋_GB2312" w:cs="仿宋_GB2312"/>
          <w:color w:val="FF0000"/>
          <w:kern w:val="0"/>
          <w:sz w:val="28"/>
          <w:szCs w:val="24"/>
          <w:lang w:bidi="ar"/>
        </w:rPr>
        <w:t>1</w:t>
      </w:r>
      <w:r>
        <w:rPr>
          <w:rFonts w:ascii="仿宋_GB2312" w:eastAsia="仿宋_GB2312" w:hAnsi="仿宋_GB2312" w:cs="仿宋_GB2312"/>
          <w:color w:val="000000"/>
          <w:kern w:val="0"/>
          <w:sz w:val="28"/>
          <w:szCs w:val="24"/>
          <w:lang w:bidi="ar"/>
        </w:rPr>
        <w:t xml:space="preserve">. </w:t>
      </w:r>
    </w:p>
    <w:p>
      <w:pPr>
        <w:pStyle w:val="10"/>
        <w:widowControl/>
        <w:numPr>
          <w:ilvl w:val="0"/>
          <w:numId w:val="0"/>
        </w:numPr>
        <w:spacing w:line="360" w:lineRule="auto"/>
        <w:ind w:left="480" w:leftChars="0"/>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eastAsia="zh-CN" w:bidi="ar"/>
        </w:rPr>
        <w:t>（</w:t>
      </w:r>
      <w:r>
        <w:rPr>
          <w:rFonts w:ascii="仿宋_GB2312" w:eastAsia="仿宋_GB2312" w:hAnsi="仿宋_GB2312" w:cs="仿宋_GB2312" w:hint="eastAsia"/>
          <w:b/>
          <w:bCs/>
          <w:color w:val="000000"/>
          <w:kern w:val="0"/>
          <w:sz w:val="28"/>
          <w:szCs w:val="24"/>
          <w:lang w:val="en-US" w:eastAsia="zh-CN" w:bidi="ar"/>
        </w:rPr>
        <w:t>3）</w:t>
      </w:r>
      <w:r>
        <w:rPr>
          <w:rFonts w:ascii="仿宋_GB2312" w:eastAsia="仿宋_GB2312" w:hAnsi="仿宋_GB2312" w:cs="仿宋_GB2312" w:hint="eastAsia"/>
          <w:b/>
          <w:bCs/>
          <w:color w:val="000000"/>
          <w:kern w:val="0"/>
          <w:sz w:val="28"/>
          <w:szCs w:val="24"/>
          <w:lang w:bidi="ar"/>
        </w:rPr>
        <w:t>具体派遣单位</w:t>
      </w:r>
      <w:r>
        <w:rPr>
          <w:rFonts w:ascii="仿宋_GB2312" w:eastAsia="仿宋_GB2312" w:hAnsi="仿宋_GB2312" w:cs="仿宋_GB2312" w:hint="eastAsia"/>
          <w:color w:val="000000"/>
          <w:kern w:val="0"/>
          <w:sz w:val="28"/>
          <w:szCs w:val="24"/>
          <w:lang w:bidi="ar"/>
        </w:rPr>
        <w:t>：选填项，如主管单位和具体派遣单位一致，具体派遣单位项须留空；其他情况如用人单位无特殊说明，一般需填写签约单位名称。博士后进站备注“（博士后）”字样。</w:t>
      </w:r>
    </w:p>
    <w:p>
      <w:pPr>
        <w:pStyle w:val="10"/>
        <w:widowControl/>
        <w:numPr>
          <w:ilvl w:val="0"/>
          <w:numId w:val="0"/>
        </w:numPr>
        <w:spacing w:line="360" w:lineRule="auto"/>
        <w:ind w:left="480" w:leftChars="0"/>
        <w:jc w:val="left"/>
        <w:rPr>
          <w:rFonts w:ascii="仿宋_GB2312" w:eastAsia="仿宋_GB2312" w:hAnsi="仿宋_GB2312" w:cs="仿宋_GB2312"/>
          <w:color w:val="000000"/>
          <w:kern w:val="0"/>
          <w:sz w:val="28"/>
          <w:szCs w:val="24"/>
          <w:highlight w:val="none"/>
          <w:lang w:bidi="ar"/>
        </w:rPr>
      </w:pPr>
      <w:r>
        <w:rPr>
          <w:rFonts w:ascii="仿宋_GB2312" w:eastAsia="仿宋_GB2312" w:hAnsi="仿宋_GB2312" w:cs="仿宋_GB2312" w:hint="eastAsia"/>
          <w:b/>
          <w:bCs/>
          <w:color w:val="000000"/>
          <w:kern w:val="0"/>
          <w:sz w:val="28"/>
          <w:szCs w:val="24"/>
          <w:highlight w:val="none"/>
          <w:lang w:eastAsia="zh-CN" w:bidi="ar"/>
        </w:rPr>
        <w:t>（</w:t>
      </w:r>
      <w:r>
        <w:rPr>
          <w:rFonts w:ascii="仿宋_GB2312" w:eastAsia="仿宋_GB2312" w:hAnsi="仿宋_GB2312" w:cs="仿宋_GB2312" w:hint="eastAsia"/>
          <w:b/>
          <w:bCs/>
          <w:color w:val="000000"/>
          <w:kern w:val="0"/>
          <w:sz w:val="28"/>
          <w:szCs w:val="24"/>
          <w:highlight w:val="none"/>
          <w:lang w:val="en-US" w:eastAsia="zh-CN" w:bidi="ar"/>
        </w:rPr>
        <w:t>4）</w:t>
      </w:r>
      <w:r>
        <w:rPr>
          <w:rFonts w:ascii="仿宋_GB2312" w:eastAsia="仿宋_GB2312" w:hAnsi="仿宋_GB2312" w:cs="仿宋_GB2312" w:hint="eastAsia"/>
          <w:b/>
          <w:bCs/>
          <w:color w:val="000000"/>
          <w:kern w:val="0"/>
          <w:sz w:val="28"/>
          <w:szCs w:val="24"/>
          <w:highlight w:val="none"/>
          <w:lang w:bidi="ar"/>
        </w:rPr>
        <w:t>报到地址</w:t>
      </w:r>
      <w:r>
        <w:rPr>
          <w:rFonts w:ascii="仿宋_GB2312" w:eastAsia="仿宋_GB2312" w:hAnsi="仿宋_GB2312" w:cs="仿宋_GB2312" w:hint="eastAsia"/>
          <w:color w:val="000000"/>
          <w:kern w:val="0"/>
          <w:sz w:val="28"/>
          <w:szCs w:val="24"/>
          <w:highlight w:val="none"/>
          <w:lang w:bidi="ar"/>
        </w:rPr>
        <w:t>：必填项，直辖市（北京市、天津市、上海市和重庆市）、汕头市、佛山市南海区、佛山市顺德区须具体到区；其他地区如</w:t>
      </w:r>
      <w:r>
        <w:rPr>
          <w:rFonts w:ascii="仿宋_GB2312" w:eastAsia="仿宋_GB2312" w:hAnsi="仿宋_GB2312" w:cs="仿宋_GB2312" w:hint="eastAsia"/>
          <w:color w:val="000000"/>
          <w:kern w:val="0"/>
          <w:sz w:val="28"/>
          <w:szCs w:val="24"/>
          <w:highlight w:val="none"/>
          <w:lang w:val="en-US" w:eastAsia="zh-CN" w:bidi="ar"/>
        </w:rPr>
        <w:t>有需要可具体到区，</w:t>
      </w:r>
      <w:r>
        <w:rPr>
          <w:rFonts w:ascii="仿宋_GB2312" w:eastAsia="仿宋_GB2312" w:hAnsi="仿宋_GB2312" w:cs="仿宋_GB2312" w:hint="eastAsia"/>
          <w:color w:val="000000"/>
          <w:kern w:val="0"/>
          <w:sz w:val="28"/>
          <w:szCs w:val="24"/>
          <w:highlight w:val="none"/>
          <w:lang w:bidi="ar"/>
        </w:rPr>
        <w:t>用人单位</w:t>
      </w:r>
      <w:r>
        <w:rPr>
          <w:rFonts w:ascii="仿宋_GB2312" w:eastAsia="仿宋_GB2312" w:hAnsi="仿宋_GB2312" w:cs="仿宋_GB2312" w:hint="eastAsia"/>
          <w:color w:val="000000"/>
          <w:kern w:val="0"/>
          <w:sz w:val="28"/>
          <w:szCs w:val="24"/>
          <w:highlight w:val="none"/>
          <w:lang w:val="en-US" w:eastAsia="zh-CN" w:bidi="ar"/>
        </w:rPr>
        <w:t>或生源地接收户档部门</w:t>
      </w:r>
      <w:r>
        <w:rPr>
          <w:rFonts w:ascii="仿宋_GB2312" w:eastAsia="仿宋_GB2312" w:hAnsi="仿宋_GB2312" w:cs="仿宋_GB2312" w:hint="eastAsia"/>
          <w:color w:val="000000"/>
          <w:kern w:val="0"/>
          <w:sz w:val="28"/>
          <w:szCs w:val="24"/>
          <w:highlight w:val="none"/>
          <w:lang w:bidi="ar"/>
        </w:rPr>
        <w:t>无特殊要求报到地址</w:t>
      </w:r>
      <w:r>
        <w:rPr>
          <w:rFonts w:ascii="仿宋_GB2312" w:eastAsia="仿宋_GB2312" w:hAnsi="仿宋_GB2312" w:cs="仿宋_GB2312" w:hint="eastAsia"/>
          <w:color w:val="000000"/>
          <w:kern w:val="0"/>
          <w:sz w:val="28"/>
          <w:szCs w:val="24"/>
          <w:highlight w:val="none"/>
          <w:lang w:val="en-US" w:eastAsia="zh-CN" w:bidi="ar"/>
        </w:rPr>
        <w:t>可只填</w:t>
      </w:r>
      <w:r>
        <w:rPr>
          <w:rFonts w:ascii="仿宋_GB2312" w:eastAsia="仿宋_GB2312" w:hAnsi="仿宋_GB2312" w:cs="仿宋_GB2312" w:hint="eastAsia"/>
          <w:color w:val="000000"/>
          <w:kern w:val="0"/>
          <w:sz w:val="28"/>
          <w:szCs w:val="24"/>
          <w:highlight w:val="none"/>
          <w:lang w:bidi="ar"/>
        </w:rPr>
        <w:t>到市。</w:t>
      </w:r>
    </w:p>
    <w:p>
      <w:pPr>
        <w:pStyle w:val="10"/>
        <w:keepNext w:val="0"/>
        <w:keepLines w:val="0"/>
        <w:pageBreakBefore w:val="0"/>
        <w:widowControl/>
        <w:numPr>
          <w:ilvl w:val="255"/>
          <w:numId w:val="0"/>
        </w:numP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eastAsia="zh-CN" w:bidi="ar"/>
        </w:rPr>
        <w:t>（</w:t>
      </w:r>
      <w:r>
        <w:rPr>
          <w:rFonts w:ascii="仿宋_GB2312" w:eastAsia="仿宋_GB2312" w:hAnsi="仿宋_GB2312" w:cs="仿宋_GB2312" w:hint="eastAsia"/>
          <w:b/>
          <w:bCs/>
          <w:color w:val="000000"/>
          <w:kern w:val="0"/>
          <w:sz w:val="28"/>
          <w:szCs w:val="24"/>
          <w:lang w:val="en-US" w:eastAsia="zh-CN" w:bidi="ar"/>
        </w:rPr>
        <w:t>5）</w:t>
      </w:r>
      <w:r>
        <w:rPr>
          <w:rFonts w:ascii="仿宋_GB2312" w:eastAsia="仿宋_GB2312" w:hAnsi="仿宋_GB2312" w:cs="仿宋_GB2312" w:hint="eastAsia"/>
          <w:b/>
          <w:bCs/>
          <w:color w:val="000000"/>
          <w:kern w:val="0"/>
          <w:sz w:val="28"/>
          <w:szCs w:val="24"/>
          <w:lang w:bidi="ar"/>
        </w:rPr>
        <w:t>附件：</w:t>
      </w:r>
      <w:r>
        <w:rPr>
          <w:rFonts w:ascii="仿宋_GB2312" w:eastAsia="仿宋_GB2312" w:hAnsi="仿宋_GB2312" w:cs="仿宋_GB2312" w:hint="eastAsia"/>
          <w:color w:val="000000"/>
          <w:kern w:val="0"/>
          <w:sz w:val="28"/>
          <w:szCs w:val="24"/>
          <w:lang w:bidi="ar"/>
        </w:rPr>
        <w:t>上传签约材料和接收函两类材料。</w:t>
      </w:r>
    </w:p>
    <w:p>
      <w:pPr>
        <w:widowControl/>
        <w:spacing w:line="360" w:lineRule="auto"/>
        <w:ind w:left="480" w:firstLine="840" w:firstLineChars="30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val="en-US" w:eastAsia="zh-CN" w:bidi="ar"/>
        </w:rPr>
        <w:t xml:space="preserve">A. </w:t>
      </w:r>
      <w:r>
        <w:rPr>
          <w:rFonts w:ascii="仿宋_GB2312" w:eastAsia="仿宋_GB2312" w:hAnsi="仿宋_GB2312" w:cs="仿宋_GB2312" w:hint="eastAsia"/>
          <w:color w:val="000000"/>
          <w:kern w:val="0"/>
          <w:sz w:val="28"/>
          <w:szCs w:val="24"/>
          <w:lang w:bidi="ar"/>
        </w:rPr>
        <w:t>签约材料：必须上传，可以是就业协议书、公务员录用函或博士后进站备案审核材料（有博士后站点盖章）。</w:t>
      </w:r>
    </w:p>
    <w:p>
      <w:pPr>
        <w:widowControl/>
        <w:numPr>
          <w:ilvl w:val="0"/>
          <w:numId w:val="0"/>
        </w:numPr>
        <w:spacing w:line="360" w:lineRule="auto"/>
        <w:ind w:left="420" w:firstLine="840" w:leftChars="200" w:firstLineChars="30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val="en-US" w:eastAsia="zh-CN" w:bidi="ar"/>
        </w:rPr>
        <w:t xml:space="preserve">B. </w:t>
      </w:r>
      <w:r>
        <w:rPr>
          <w:rFonts w:ascii="仿宋_GB2312" w:eastAsia="仿宋_GB2312" w:hAnsi="仿宋_GB2312" w:cs="仿宋_GB2312" w:hint="eastAsia"/>
          <w:color w:val="000000"/>
          <w:kern w:val="0"/>
          <w:sz w:val="28"/>
          <w:szCs w:val="24"/>
          <w:lang w:bidi="ar"/>
        </w:rPr>
        <w:t>接收函：一般情况需要上传，以下三类情况无需上传接收函：</w:t>
      </w:r>
    </w:p>
    <w:p>
      <w:pPr>
        <w:widowControl/>
        <w:numPr>
          <w:ilvl w:val="255"/>
          <w:numId w:val="0"/>
        </w:numPr>
        <w:spacing w:line="360" w:lineRule="auto"/>
        <w:ind w:left="420" w:firstLine="560" w:leftChars="200" w:firstLineChars="20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1）</w:t>
      </w:r>
      <w:r>
        <w:rPr>
          <w:rFonts w:ascii="仿宋_GB2312" w:eastAsia="仿宋_GB2312" w:hAnsi="仿宋_GB2312" w:cs="仿宋_GB2312" w:hint="eastAsia"/>
          <w:color w:val="000000"/>
          <w:kern w:val="0"/>
          <w:sz w:val="28"/>
          <w:szCs w:val="24"/>
          <w:lang w:bidi="ar"/>
        </w:rPr>
        <w:t>签约单位在生源地</w:t>
      </w:r>
      <w:r>
        <w:rPr>
          <w:rFonts w:ascii="仿宋_GB2312" w:eastAsia="仿宋_GB2312" w:hAnsi="仿宋_GB2312" w:cs="仿宋_GB2312" w:hint="eastAsia"/>
          <w:color w:val="000000"/>
          <w:kern w:val="0"/>
          <w:sz w:val="28"/>
          <w:szCs w:val="24"/>
          <w:lang w:val="en-US" w:eastAsia="zh-CN" w:bidi="ar"/>
        </w:rPr>
        <w:t>且主管单位为当地人社局或人才市场的情况</w:t>
      </w:r>
      <w:r>
        <w:rPr>
          <w:rFonts w:ascii="仿宋_GB2312" w:eastAsia="仿宋_GB2312" w:hAnsi="仿宋_GB2312" w:cs="仿宋_GB2312" w:hint="eastAsia"/>
          <w:color w:val="000000"/>
          <w:kern w:val="0"/>
          <w:sz w:val="28"/>
          <w:szCs w:val="24"/>
          <w:lang w:bidi="ar"/>
        </w:rPr>
        <w:t>（广东省内须在生源所在市，如广州市、中山市；广东省外须在生源所在省，如福建省、湖南省）；</w:t>
      </w:r>
    </w:p>
    <w:p>
      <w:pPr>
        <w:widowControl/>
        <w:numPr>
          <w:ilvl w:val="255"/>
          <w:numId w:val="0"/>
        </w:numPr>
        <w:spacing w:line="360" w:lineRule="auto"/>
        <w:ind w:left="420" w:firstLine="560" w:leftChars="200" w:firstLineChars="20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2）</w:t>
      </w:r>
      <w:r>
        <w:rPr>
          <w:rFonts w:ascii="仿宋_GB2312" w:eastAsia="仿宋_GB2312" w:hAnsi="仿宋_GB2312" w:cs="仿宋_GB2312" w:hint="eastAsia"/>
          <w:color w:val="000000"/>
          <w:kern w:val="0"/>
          <w:sz w:val="28"/>
          <w:szCs w:val="24"/>
          <w:lang w:bidi="ar"/>
        </w:rPr>
        <w:t>签约单位为省外单位，且可接收户档</w:t>
      </w:r>
      <w:r>
        <w:rPr>
          <w:rFonts w:ascii="仿宋_GB2312" w:eastAsia="仿宋_GB2312" w:hAnsi="仿宋_GB2312" w:cs="仿宋_GB2312"/>
          <w:color w:val="000000"/>
          <w:kern w:val="0"/>
          <w:sz w:val="28"/>
          <w:szCs w:val="24"/>
          <w:lang w:bidi="ar"/>
        </w:rPr>
        <w:t xml:space="preserve">; </w:t>
      </w:r>
    </w:p>
    <w:p>
      <w:pPr>
        <w:widowControl/>
        <w:numPr>
          <w:ilvl w:val="255"/>
          <w:numId w:val="0"/>
        </w:numPr>
        <w:spacing w:line="360" w:lineRule="auto"/>
        <w:ind w:left="420" w:firstLine="560" w:leftChars="200" w:firstLineChars="20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3）</w:t>
      </w:r>
      <w:r>
        <w:rPr>
          <w:rFonts w:ascii="仿宋_GB2312" w:eastAsia="仿宋_GB2312" w:hAnsi="仿宋_GB2312" w:cs="仿宋_GB2312" w:hint="eastAsia"/>
          <w:color w:val="000000"/>
          <w:kern w:val="0"/>
          <w:sz w:val="28"/>
          <w:szCs w:val="24"/>
          <w:lang w:bidi="ar"/>
        </w:rPr>
        <w:t>签约单位为省内单位，签约单位即为户档接收单位，且签约单位名称可在“主管单位”的下拉列表中查询到。</w:t>
      </w:r>
    </w:p>
    <w:p>
      <w:pPr>
        <w:widowControl/>
        <w:spacing w:line="360" w:lineRule="auto"/>
        <w:ind w:left="480" w:firstLine="560" w:firstLineChars="200"/>
        <w:jc w:val="left"/>
        <w:rPr>
          <w:rFonts w:ascii="仿宋_GB2312" w:eastAsia="仿宋_GB2312" w:hAnsi="仿宋_GB2312" w:cs="仿宋_GB2312" w:hint="eastAsia"/>
          <w:color w:val="000000"/>
          <w:kern w:val="0"/>
          <w:sz w:val="28"/>
          <w:szCs w:val="24"/>
          <w:lang w:bidi="ar"/>
        </w:rPr>
      </w:pPr>
      <w:r>
        <w:rPr>
          <w:rFonts w:ascii="仿宋_GB2312" w:eastAsia="仿宋_GB2312" w:hAnsi="仿宋_GB2312" w:cs="仿宋_GB2312" w:hint="eastAsia"/>
          <w:color w:val="000000"/>
          <w:kern w:val="0"/>
          <w:sz w:val="28"/>
          <w:szCs w:val="24"/>
          <w:lang w:bidi="ar"/>
        </w:rPr>
        <w:t>除上述三类情况外，其他情况</w:t>
      </w:r>
      <w:r>
        <w:rPr>
          <w:rFonts w:ascii="仿宋_GB2312" w:eastAsia="仿宋_GB2312" w:hAnsi="仿宋_GB2312" w:cs="仿宋_GB2312" w:hint="eastAsia"/>
          <w:color w:val="000000"/>
          <w:kern w:val="0"/>
          <w:sz w:val="28"/>
          <w:szCs w:val="24"/>
          <w:lang w:val="en-US" w:eastAsia="zh-CN" w:bidi="ar"/>
        </w:rPr>
        <w:t>一般</w:t>
      </w:r>
      <w:r>
        <w:rPr>
          <w:rFonts w:ascii="仿宋_GB2312" w:eastAsia="仿宋_GB2312" w:hAnsi="仿宋_GB2312" w:cs="仿宋_GB2312" w:hint="eastAsia"/>
          <w:color w:val="000000"/>
          <w:kern w:val="0"/>
          <w:sz w:val="28"/>
          <w:szCs w:val="24"/>
          <w:lang w:bidi="ar"/>
        </w:rPr>
        <w:t>需上传接收函材料。户档去往北京的签约单位的情况，如果是非北京生源，一般都需要接收函；户档去往上海的签约单位的情况，如果是非上海生源，一般都需要接收函；接收函材料可以是“主管单位</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另行出具的证明、也可以是主管单位在就业协议书“地方毕业生就业主管部门或省直单位上级主管部门签章”处加盖公章情况。</w:t>
      </w:r>
    </w:p>
    <w:p>
      <w:pPr>
        <w:widowControl/>
        <w:spacing w:line="360" w:lineRule="auto"/>
        <w:ind w:left="480" w:firstLine="560" w:firstLineChars="200"/>
        <w:jc w:val="left"/>
        <w:rPr>
          <w:rFonts w:ascii="仿宋_GB2312" w:eastAsia="仿宋_GB2312" w:hAnsi="仿宋_GB2312" w:cs="仿宋_GB2312" w:hint="default"/>
          <w:color w:val="000000"/>
          <w:kern w:val="0"/>
          <w:sz w:val="28"/>
          <w:szCs w:val="24"/>
          <w:lang w:val="en-US" w:eastAsia="zh-CN" w:bidi="ar"/>
        </w:rPr>
      </w:pPr>
      <w:r>
        <w:rPr>
          <w:rFonts w:ascii="仿宋_GB2312" w:eastAsia="仿宋_GB2312" w:hAnsi="仿宋_GB2312" w:cs="仿宋_GB2312" w:hint="eastAsia"/>
          <w:color w:val="000000"/>
          <w:kern w:val="0"/>
          <w:sz w:val="28"/>
          <w:szCs w:val="24"/>
          <w:lang w:val="en-US" w:eastAsia="zh-CN" w:bidi="ar"/>
        </w:rPr>
        <w:t>如有特殊情况，请及时与院系就业工作人员及学校就业管理部门工作人员沟通确认。</w:t>
      </w:r>
    </w:p>
    <w:p>
      <w:pPr>
        <w:keepNext w:val="0"/>
        <w:keepLines w:val="0"/>
        <w:pageBreakBefore w:val="0"/>
        <w:widowControl/>
        <w:kinsoku/>
        <w:wordWrap/>
        <w:overflowPunct/>
        <w:topLinePunct w:val="0"/>
        <w:autoSpaceDE/>
        <w:autoSpaceDN/>
        <w:bidi w:val="0"/>
        <w:adjustRightInd/>
        <w:snapToGrid/>
        <w:spacing w:line="360" w:lineRule="auto"/>
        <w:ind w:firstLine="1120" w:firstLineChars="400"/>
        <w:jc w:val="left"/>
        <w:textAlignment w:val="auto"/>
        <w:rPr>
          <w:rFonts w:ascii="仿宋_GB2312" w:eastAsia="仿宋_GB2312" w:hAnsi="仿宋_GB2312" w:cs="仿宋_GB2312" w:hint="eastAsia"/>
          <w:color w:val="000000"/>
          <w:kern w:val="0"/>
          <w:sz w:val="28"/>
          <w:szCs w:val="24"/>
          <w:lang w:bidi="ar"/>
        </w:rPr>
      </w:pPr>
      <w:r>
        <w:rPr>
          <w:rFonts w:ascii="仿宋_GB2312" w:eastAsia="仿宋_GB2312" w:hAnsi="仿宋_GB2312" w:cs="仿宋_GB2312" w:hint="eastAsia"/>
          <w:color w:val="000000"/>
          <w:kern w:val="0"/>
          <w:sz w:val="28"/>
          <w:szCs w:val="24"/>
          <w:lang w:bidi="ar"/>
        </w:rPr>
        <w:t>注意：少干计划毕业生还需上传少干计划定向协议书。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560" w:leftChars="0" w:firstLineChars="200"/>
        <w:jc w:val="left"/>
        <w:textAlignment w:val="auto"/>
        <w:rPr>
          <w:rFonts w:ascii="仿宋_GB2312" w:eastAsia="仿宋_GB2312" w:hAnsi="仿宋_GB2312" w:cs="仿宋_GB2312" w:hint="default"/>
          <w:b/>
          <w:bCs/>
          <w:color w:val="000000"/>
          <w:kern w:val="0"/>
          <w:sz w:val="28"/>
          <w:szCs w:val="24"/>
          <w:lang w:val="en-US" w:eastAsia="zh-CN" w:bidi="ar"/>
        </w:rPr>
      </w:pPr>
      <w:r>
        <w:rPr>
          <w:rFonts w:ascii="仿宋_GB2312" w:eastAsia="仿宋_GB2312" w:hAnsi="仿宋_GB2312" w:cs="仿宋_GB2312" w:hint="eastAsia"/>
          <w:b/>
          <w:bCs/>
          <w:color w:val="000000"/>
          <w:kern w:val="0"/>
          <w:sz w:val="28"/>
          <w:szCs w:val="24"/>
          <w:lang w:val="en-US" w:eastAsia="zh-CN" w:bidi="ar"/>
        </w:rPr>
        <w:t>回生源地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560" w:leftChars="200" w:firstLineChars="200"/>
        <w:jc w:val="left"/>
        <w:textAlignment w:val="auto"/>
        <w:rPr>
          <w:rFonts w:ascii="仿宋_GB2312" w:eastAsia="仿宋_GB2312" w:hAnsi="仿宋_GB2312" w:cs="仿宋_GB2312" w:hint="default"/>
          <w:b w:val="0"/>
          <w:bCs w:val="0"/>
          <w:color w:val="000000"/>
          <w:kern w:val="0"/>
          <w:sz w:val="28"/>
          <w:szCs w:val="24"/>
          <w:lang w:val="en-US" w:eastAsia="zh-CN" w:bidi="ar"/>
        </w:rPr>
      </w:pPr>
      <w:r>
        <w:rPr>
          <w:rFonts w:ascii="仿宋_GB2312" w:eastAsia="仿宋_GB2312" w:hAnsi="仿宋_GB2312" w:cs="仿宋_GB2312" w:hint="default"/>
          <w:b w:val="0"/>
          <w:bCs w:val="0"/>
          <w:color w:val="C00000"/>
          <w:kern w:val="0"/>
          <w:sz w:val="28"/>
          <w:szCs w:val="24"/>
          <w:lang w:val="en-US" w:eastAsia="zh-CN" w:bidi="ar"/>
        </w:rPr>
        <w:t>如确认系统默认的派遣方案信息和档案信息无误，可填报户口信息后提交</w:t>
      </w:r>
      <w:r>
        <w:rPr>
          <w:rFonts w:ascii="仿宋_GB2312" w:eastAsia="仿宋_GB2312" w:hAnsi="仿宋_GB2312" w:cs="仿宋_GB2312" w:hint="eastAsia"/>
          <w:b w:val="0"/>
          <w:bCs w:val="0"/>
          <w:color w:val="C00000"/>
          <w:kern w:val="0"/>
          <w:sz w:val="28"/>
          <w:szCs w:val="24"/>
          <w:lang w:val="en-US" w:eastAsia="zh-CN" w:bidi="ar"/>
        </w:rPr>
        <w:t>。</w:t>
      </w:r>
      <w:r>
        <w:rPr>
          <w:rFonts w:ascii="仿宋_GB2312" w:eastAsia="仿宋_GB2312" w:hAnsi="仿宋_GB2312" w:cs="仿宋_GB2312" w:hint="eastAsia"/>
          <w:b w:val="0"/>
          <w:bCs w:val="0"/>
          <w:color w:val="000000"/>
          <w:kern w:val="0"/>
          <w:sz w:val="28"/>
          <w:szCs w:val="24"/>
          <w:lang w:val="en-US" w:eastAsia="zh-CN" w:bidi="ar"/>
        </w:rPr>
        <w:t>户口未迁入中大的，只需在“入学时户口是否迁入中大”一项填否，不须填写户口迁出落户地址</w:t>
      </w:r>
      <w:r>
        <w:rPr>
          <w:rFonts w:ascii="仿宋_GB2312" w:eastAsia="仿宋_GB2312" w:hAnsi="仿宋_GB2312" w:cs="仿宋_GB2312" w:hint="default"/>
          <w:b w:val="0"/>
          <w:bCs w:val="0"/>
          <w:color w:val="000000"/>
          <w:kern w:val="0"/>
          <w:sz w:val="28"/>
          <w:szCs w:val="24"/>
          <w:lang w:val="en-US" w:eastAsia="zh-CN" w:bidi="ar"/>
        </w:rPr>
        <w:t>。一般回生源地的主管单位为生源地人力资源和社会保障局或相应的人才市场。</w:t>
      </w:r>
    </w:p>
    <w:p>
      <w:pPr>
        <w:keepNext w:val="0"/>
        <w:keepLines w:val="0"/>
        <w:pageBreakBefore w:val="0"/>
        <w:numPr>
          <w:ilvl w:val="255"/>
          <w:numId w:val="0"/>
        </w:numP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b/>
          <w:bCs/>
          <w:sz w:val="28"/>
          <w:szCs w:val="24"/>
          <w:lang w:val="en-US" w:eastAsia="zh-CN"/>
        </w:rPr>
      </w:pPr>
    </w:p>
    <w:p>
      <w:pPr>
        <w:keepNext w:val="0"/>
        <w:keepLines w:val="0"/>
        <w:pageBreakBefore w:val="0"/>
        <w:numPr>
          <w:ilvl w:val="255"/>
          <w:numId w:val="0"/>
        </w:numP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b/>
          <w:bCs/>
          <w:sz w:val="28"/>
          <w:szCs w:val="24"/>
          <w:lang w:val="en-US" w:eastAsia="zh-CN"/>
        </w:rPr>
      </w:pPr>
      <w:r>
        <w:rPr>
          <w:rFonts w:ascii="仿宋_GB2312" w:eastAsia="仿宋_GB2312" w:hAnsi="仿宋_GB2312" w:cs="仿宋_GB2312" w:hint="eastAsia"/>
          <w:b/>
          <w:bCs/>
          <w:sz w:val="28"/>
          <w:szCs w:val="24"/>
          <w:lang w:val="en-US" w:eastAsia="zh-CN"/>
        </w:rPr>
        <w:t>类型二：“境内升学”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color w:val="000000"/>
          <w:kern w:val="0"/>
          <w:sz w:val="28"/>
          <w:szCs w:val="24"/>
          <w:lang w:eastAsia="zh-CN" w:bidi="ar"/>
        </w:rPr>
      </w:pPr>
      <w:r>
        <w:rPr>
          <w:rFonts w:ascii="仿宋_GB2312" w:eastAsia="仿宋_GB2312" w:hAnsi="仿宋_GB2312" w:cs="仿宋_GB2312" w:hint="eastAsia"/>
          <w:color w:val="000000"/>
          <w:kern w:val="0"/>
          <w:sz w:val="28"/>
          <w:szCs w:val="24"/>
          <w:lang w:bidi="ar"/>
        </w:rPr>
        <w:t>派遣性质为“境内升学”的，指本科生在境内高校读研，硕士毕业生在境内高校读博，</w:t>
      </w:r>
      <w:r>
        <w:rPr>
          <w:rFonts w:ascii="仿宋_GB2312" w:eastAsia="仿宋_GB2312" w:hAnsi="仿宋_GB2312" w:cs="仿宋_GB2312" w:hint="eastAsia"/>
          <w:color w:val="000000"/>
          <w:kern w:val="0"/>
          <w:sz w:val="28"/>
          <w:szCs w:val="24"/>
          <w:lang w:val="en-US" w:eastAsia="zh-CN" w:bidi="ar"/>
        </w:rPr>
        <w:t>并</w:t>
      </w:r>
      <w:r>
        <w:rPr>
          <w:rFonts w:ascii="仿宋_GB2312" w:eastAsia="仿宋_GB2312" w:hAnsi="仿宋_GB2312" w:cs="仿宋_GB2312" w:hint="eastAsia"/>
          <w:color w:val="000000"/>
          <w:kern w:val="0"/>
          <w:sz w:val="28"/>
          <w:szCs w:val="24"/>
          <w:lang w:bidi="ar"/>
        </w:rPr>
        <w:t>在派遣方案上传录取相关证明</w:t>
      </w:r>
      <w:r>
        <w:rPr>
          <w:rFonts w:ascii="仿宋_GB2312" w:eastAsia="仿宋_GB2312" w:hAnsi="仿宋_GB2312" w:cs="仿宋_GB2312" w:hint="eastAsia"/>
          <w:color w:val="000000"/>
          <w:kern w:val="0"/>
          <w:sz w:val="28"/>
          <w:szCs w:val="24"/>
          <w:lang w:val="en-US" w:eastAsia="zh-CN" w:bidi="ar"/>
        </w:rPr>
        <w:t>作为附件</w:t>
      </w:r>
      <w:r>
        <w:rPr>
          <w:rFonts w:ascii="仿宋_GB2312" w:eastAsia="仿宋_GB2312" w:hAnsi="仿宋_GB2312" w:cs="仿宋_GB2312" w:hint="eastAsia"/>
          <w:color w:val="000000"/>
          <w:kern w:val="0"/>
          <w:sz w:val="28"/>
          <w:szCs w:val="24"/>
          <w:lang w:eastAsia="zh-CN" w:bidi="ar"/>
        </w:rPr>
        <w:t>。</w:t>
      </w:r>
    </w:p>
    <w:p>
      <w:pPr>
        <w:pStyle w:val="10"/>
        <w:widowControl/>
        <w:numPr>
          <w:ilvl w:val="0"/>
          <w:numId w:val="0"/>
        </w:numPr>
        <w:spacing w:line="360" w:lineRule="auto"/>
        <w:ind w:left="480" w:leftChars="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i w:val="0"/>
          <w:iCs w:val="0"/>
          <w:color w:val="000000"/>
          <w:kern w:val="0"/>
          <w:sz w:val="28"/>
          <w:szCs w:val="24"/>
          <w:lang w:eastAsia="zh-CN" w:bidi="ar"/>
        </w:rPr>
        <w:t>（</w:t>
      </w:r>
      <w:r>
        <w:rPr>
          <w:rFonts w:ascii="仿宋_GB2312" w:eastAsia="仿宋_GB2312" w:hAnsi="仿宋_GB2312" w:cs="仿宋_GB2312" w:hint="eastAsia"/>
          <w:b/>
          <w:bCs/>
          <w:i w:val="0"/>
          <w:iCs w:val="0"/>
          <w:color w:val="000000"/>
          <w:kern w:val="0"/>
          <w:sz w:val="28"/>
          <w:szCs w:val="24"/>
          <w:lang w:val="en-US" w:eastAsia="zh-CN" w:bidi="ar"/>
        </w:rPr>
        <w:t>1）</w:t>
      </w:r>
      <w:r>
        <w:rPr>
          <w:rFonts w:ascii="仿宋_GB2312" w:eastAsia="仿宋_GB2312" w:hAnsi="仿宋_GB2312" w:cs="仿宋_GB2312" w:hint="eastAsia"/>
          <w:b/>
          <w:bCs/>
          <w:i w:val="0"/>
          <w:iCs w:val="0"/>
          <w:color w:val="000000"/>
          <w:kern w:val="0"/>
          <w:sz w:val="28"/>
          <w:szCs w:val="24"/>
          <w:lang w:bidi="ar"/>
        </w:rPr>
        <w:t>派遣性质</w:t>
      </w:r>
      <w:r>
        <w:rPr>
          <w:rFonts w:ascii="仿宋_GB2312" w:eastAsia="仿宋_GB2312" w:hAnsi="仿宋_GB2312" w:cs="仿宋_GB2312" w:hint="eastAsia"/>
          <w:color w:val="000000"/>
          <w:kern w:val="0"/>
          <w:sz w:val="28"/>
          <w:szCs w:val="24"/>
          <w:lang w:bidi="ar"/>
        </w:rPr>
        <w:t>：必选项，选择“</w:t>
      </w:r>
      <w:r>
        <w:rPr>
          <w:rFonts w:ascii="仿宋_GB2312" w:eastAsia="仿宋_GB2312" w:hAnsi="仿宋_GB2312" w:cs="仿宋_GB2312" w:hint="eastAsia"/>
          <w:color w:val="000000"/>
          <w:kern w:val="0"/>
          <w:sz w:val="28"/>
          <w:szCs w:val="24"/>
          <w:lang w:val="en-US" w:eastAsia="zh-CN" w:bidi="ar"/>
        </w:rPr>
        <w:t>境内升学</w:t>
      </w:r>
      <w:r>
        <w:rPr>
          <w:rFonts w:ascii="仿宋_GB2312" w:eastAsia="仿宋_GB2312" w:hAnsi="仿宋_GB2312" w:cs="仿宋_GB2312" w:hint="eastAsia"/>
          <w:color w:val="000000"/>
          <w:kern w:val="0"/>
          <w:sz w:val="28"/>
          <w:szCs w:val="24"/>
          <w:lang w:bidi="ar"/>
        </w:rPr>
        <w:t>”</w:t>
      </w:r>
    </w:p>
    <w:p>
      <w:pPr>
        <w:pStyle w:val="10"/>
        <w:widowControl/>
        <w:numPr>
          <w:ilvl w:val="0"/>
          <w:numId w:val="0"/>
        </w:numPr>
        <w:spacing w:line="360" w:lineRule="auto"/>
        <w:ind w:firstLine="560" w:firstLineChars="200"/>
        <w:jc w:val="left"/>
        <w:rPr>
          <w:rFonts w:ascii="仿宋_GB2312" w:eastAsia="仿宋_GB2312" w:hAnsi="仿宋_GB2312" w:cs="仿宋_GB2312" w:hint="eastAsia"/>
          <w:color w:val="000000"/>
          <w:kern w:val="0"/>
          <w:sz w:val="28"/>
          <w:szCs w:val="24"/>
          <w:lang w:eastAsia="zh-CN" w:bidi="ar"/>
        </w:rPr>
      </w:pPr>
      <w:r>
        <w:rPr>
          <w:rFonts w:ascii="仿宋_GB2312" w:eastAsia="仿宋_GB2312" w:hAnsi="仿宋_GB2312" w:cs="仿宋_GB2312" w:hint="eastAsia"/>
          <w:b/>
          <w:bCs/>
          <w:color w:val="000000"/>
          <w:kern w:val="0"/>
          <w:sz w:val="28"/>
          <w:szCs w:val="24"/>
          <w:lang w:val="en-US" w:eastAsia="zh-CN" w:bidi="ar"/>
        </w:rPr>
        <w:t>（2）院校名称</w:t>
      </w:r>
      <w:r>
        <w:rPr>
          <w:rFonts w:ascii="仿宋_GB2312" w:eastAsia="仿宋_GB2312" w:hAnsi="仿宋_GB2312" w:cs="仿宋_GB2312" w:hint="eastAsia"/>
          <w:color w:val="000000"/>
          <w:kern w:val="0"/>
          <w:sz w:val="28"/>
          <w:szCs w:val="24"/>
          <w:lang w:bidi="ar"/>
        </w:rPr>
        <w:t>：必填项</w:t>
      </w:r>
      <w:r>
        <w:rPr>
          <w:rFonts w:ascii="仿宋_GB2312" w:eastAsia="仿宋_GB2312" w:hAnsi="仿宋_GB2312" w:cs="仿宋_GB2312" w:hint="eastAsia"/>
          <w:color w:val="000000"/>
          <w:kern w:val="0"/>
          <w:sz w:val="28"/>
          <w:szCs w:val="24"/>
          <w:lang w:eastAsia="zh-CN" w:bidi="ar"/>
        </w:rPr>
        <w:t>。</w:t>
      </w:r>
    </w:p>
    <w:p>
      <w:pPr>
        <w:pStyle w:val="10"/>
        <w:widowControl/>
        <w:numPr>
          <w:ilvl w:val="0"/>
          <w:numId w:val="0"/>
        </w:numPr>
        <w:spacing w:line="360" w:lineRule="auto"/>
        <w:ind w:left="480" w:leftChars="0"/>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eastAsia="zh-CN" w:bidi="ar"/>
        </w:rPr>
        <w:t>（</w:t>
      </w:r>
      <w:r>
        <w:rPr>
          <w:rFonts w:ascii="仿宋_GB2312" w:eastAsia="仿宋_GB2312" w:hAnsi="仿宋_GB2312" w:cs="仿宋_GB2312" w:hint="eastAsia"/>
          <w:b/>
          <w:bCs/>
          <w:color w:val="000000"/>
          <w:kern w:val="0"/>
          <w:sz w:val="28"/>
          <w:szCs w:val="24"/>
          <w:lang w:val="en-US" w:eastAsia="zh-CN" w:bidi="ar"/>
        </w:rPr>
        <w:t>3）专业名称</w:t>
      </w:r>
      <w:r>
        <w:rPr>
          <w:rFonts w:ascii="仿宋_GB2312" w:eastAsia="仿宋_GB2312" w:hAnsi="仿宋_GB2312" w:cs="仿宋_GB2312" w:hint="eastAsia"/>
          <w:color w:val="000000"/>
          <w:kern w:val="0"/>
          <w:sz w:val="28"/>
          <w:szCs w:val="24"/>
          <w:lang w:bidi="ar"/>
        </w:rPr>
        <w:t>：选填项。</w:t>
      </w:r>
    </w:p>
    <w:p>
      <w:pPr>
        <w:pStyle w:val="10"/>
        <w:widowControl/>
        <w:numPr>
          <w:ilvl w:val="0"/>
          <w:numId w:val="0"/>
        </w:numPr>
        <w:spacing w:line="360" w:lineRule="auto"/>
        <w:ind w:left="480" w:leftChars="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eastAsia="zh-CN" w:bidi="ar"/>
        </w:rPr>
        <w:t>（</w:t>
      </w:r>
      <w:r>
        <w:rPr>
          <w:rFonts w:ascii="仿宋_GB2312" w:eastAsia="仿宋_GB2312" w:hAnsi="仿宋_GB2312" w:cs="仿宋_GB2312" w:hint="eastAsia"/>
          <w:b/>
          <w:bCs/>
          <w:color w:val="000000"/>
          <w:kern w:val="0"/>
          <w:sz w:val="28"/>
          <w:szCs w:val="24"/>
          <w:lang w:val="en-US" w:eastAsia="zh-CN" w:bidi="ar"/>
        </w:rPr>
        <w:t>4）院校地区</w:t>
      </w:r>
      <w:r>
        <w:rPr>
          <w:rFonts w:ascii="仿宋_GB2312" w:eastAsia="仿宋_GB2312" w:hAnsi="仿宋_GB2312" w:cs="仿宋_GB2312" w:hint="eastAsia"/>
          <w:color w:val="000000"/>
          <w:kern w:val="0"/>
          <w:sz w:val="28"/>
          <w:szCs w:val="24"/>
          <w:lang w:bidi="ar"/>
        </w:rPr>
        <w:t>：必填项，直辖市（北京市、天津市、上海市和重庆市）、汕头市、佛山市南海区、佛山市顺德区须具体到区；其他地区如用人单位无特殊要求，</w:t>
      </w:r>
      <w:r>
        <w:rPr>
          <w:rFonts w:ascii="仿宋_GB2312" w:eastAsia="仿宋_GB2312" w:hAnsi="仿宋_GB2312" w:cs="仿宋_GB2312" w:hint="eastAsia"/>
          <w:color w:val="000000"/>
          <w:kern w:val="0"/>
          <w:sz w:val="28"/>
          <w:szCs w:val="24"/>
          <w:lang w:val="en-US" w:eastAsia="zh-CN" w:bidi="ar"/>
        </w:rPr>
        <w:t>可</w:t>
      </w:r>
      <w:r>
        <w:rPr>
          <w:rFonts w:ascii="仿宋_GB2312" w:eastAsia="仿宋_GB2312" w:hAnsi="仿宋_GB2312" w:cs="仿宋_GB2312" w:hint="eastAsia"/>
          <w:color w:val="000000"/>
          <w:kern w:val="0"/>
          <w:sz w:val="28"/>
          <w:szCs w:val="24"/>
          <w:lang w:bidi="ar"/>
        </w:rPr>
        <w:t>具体到市，如“广东省广州市”、“广东省深圳市”。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default"/>
          <w:color w:val="000000"/>
          <w:kern w:val="0"/>
          <w:sz w:val="28"/>
          <w:szCs w:val="24"/>
          <w:lang w:val="en-US" w:eastAsia="zh-CN" w:bidi="ar"/>
        </w:rPr>
      </w:pPr>
      <w:r>
        <w:rPr>
          <w:rFonts w:ascii="仿宋_GB2312" w:eastAsia="仿宋_GB2312" w:hAnsi="仿宋_GB2312" w:cs="仿宋_GB2312" w:hint="eastAsia"/>
          <w:b/>
          <w:bCs/>
          <w:color w:val="000000"/>
          <w:kern w:val="0"/>
          <w:sz w:val="28"/>
          <w:szCs w:val="24"/>
          <w:lang w:eastAsia="zh-CN" w:bidi="ar"/>
        </w:rPr>
        <w:t>（</w:t>
      </w:r>
      <w:r>
        <w:rPr>
          <w:rFonts w:ascii="仿宋_GB2312" w:eastAsia="仿宋_GB2312" w:hAnsi="仿宋_GB2312" w:cs="仿宋_GB2312" w:hint="eastAsia"/>
          <w:b/>
          <w:bCs/>
          <w:color w:val="000000"/>
          <w:kern w:val="0"/>
          <w:sz w:val="28"/>
          <w:szCs w:val="24"/>
          <w:lang w:val="en-US" w:eastAsia="zh-CN" w:bidi="ar"/>
        </w:rPr>
        <w:t>5）</w:t>
      </w:r>
      <w:r>
        <w:rPr>
          <w:rFonts w:ascii="仿宋_GB2312" w:eastAsia="仿宋_GB2312" w:hAnsi="仿宋_GB2312" w:cs="仿宋_GB2312" w:hint="eastAsia"/>
          <w:b/>
          <w:bCs/>
          <w:color w:val="000000"/>
          <w:kern w:val="0"/>
          <w:sz w:val="28"/>
          <w:szCs w:val="24"/>
          <w:lang w:bidi="ar"/>
        </w:rPr>
        <w:t>附件：</w:t>
      </w:r>
      <w:r>
        <w:rPr>
          <w:rFonts w:ascii="仿宋_GB2312" w:eastAsia="仿宋_GB2312" w:hAnsi="仿宋_GB2312" w:cs="仿宋_GB2312" w:hint="eastAsia"/>
          <w:color w:val="000000"/>
          <w:kern w:val="0"/>
          <w:sz w:val="28"/>
          <w:szCs w:val="24"/>
          <w:lang w:val="en-US" w:eastAsia="zh-CN" w:bidi="ar"/>
        </w:rPr>
        <w:t>上传录取相关证明，比如录取通知书、推免服务系统录取结果、升学调档函等。</w:t>
      </w:r>
    </w:p>
    <w:p>
      <w:pPr>
        <w:keepNext w:val="0"/>
        <w:keepLines w:val="0"/>
        <w:pageBreakBefore w:val="0"/>
        <w:numPr>
          <w:ilvl w:val="255"/>
          <w:numId w:val="0"/>
        </w:numP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color w:val="000000"/>
          <w:kern w:val="0"/>
          <w:sz w:val="28"/>
          <w:szCs w:val="24"/>
          <w:lang w:val="en-US" w:eastAsia="zh-CN" w:bidi="ar"/>
        </w:rPr>
      </w:pPr>
    </w:p>
    <w:p>
      <w:pPr>
        <w:keepNext w:val="0"/>
        <w:keepLines w:val="0"/>
        <w:pageBreakBefore w:val="0"/>
        <w:numPr>
          <w:ilvl w:val="255"/>
          <w:numId w:val="0"/>
        </w:numP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b/>
          <w:bCs/>
          <w:sz w:val="28"/>
          <w:szCs w:val="24"/>
          <w:lang w:val="en-US" w:eastAsia="zh-CN"/>
        </w:rPr>
      </w:pPr>
      <w:r>
        <w:rPr>
          <w:rFonts w:ascii="仿宋_GB2312" w:eastAsia="仿宋_GB2312" w:hAnsi="仿宋_GB2312" w:cs="仿宋_GB2312" w:hint="eastAsia"/>
          <w:color w:val="000000"/>
          <w:kern w:val="0"/>
          <w:sz w:val="28"/>
          <w:szCs w:val="24"/>
          <w:lang w:val="en-US" w:eastAsia="zh-CN" w:bidi="ar"/>
        </w:rPr>
        <w:t xml:space="preserve"> </w:t>
      </w:r>
      <w:r>
        <w:rPr>
          <w:rFonts w:ascii="仿宋_GB2312" w:eastAsia="仿宋_GB2312" w:hAnsi="仿宋_GB2312" w:cs="仿宋_GB2312" w:hint="eastAsia"/>
          <w:b/>
          <w:bCs/>
          <w:sz w:val="28"/>
          <w:szCs w:val="24"/>
          <w:lang w:val="en-US" w:eastAsia="zh-CN"/>
        </w:rPr>
        <w:t>类型三：“暂不派遣”</w:t>
      </w:r>
    </w:p>
    <w:p>
      <w:pPr>
        <w:widowControl/>
        <w:spacing w:line="360" w:lineRule="auto"/>
        <w:jc w:val="left"/>
        <w:rPr>
          <w:rFonts w:ascii="仿宋_GB2312" w:eastAsia="仿宋_GB2312" w:hAnsi="仿宋_GB2312" w:cs="仿宋_GB2312" w:hint="eastAsia"/>
          <w:color w:val="000000"/>
          <w:kern w:val="0"/>
          <w:sz w:val="28"/>
          <w:szCs w:val="24"/>
          <w:lang w:val="en-US" w:eastAsia="zh-CN" w:bidi="ar"/>
        </w:rPr>
      </w:pPr>
      <w:r>
        <w:rPr>
          <w:rFonts w:ascii="仿宋_GB2312" w:eastAsia="仿宋_GB2312" w:hAnsi="仿宋_GB2312" w:cs="仿宋_GB2312" w:hint="eastAsia"/>
          <w:color w:val="000000"/>
          <w:kern w:val="0"/>
          <w:sz w:val="28"/>
          <w:szCs w:val="24"/>
          <w:lang w:val="en-US" w:eastAsia="zh-CN" w:bidi="ar"/>
        </w:rPr>
        <w:t xml:space="preserve">    已落实就业去向但仍在办理就业接收手续的毕业生，可报送方案派遣性质为“暂不派遣”。尚未落实就业去向的毕业生，按照政策可派遣回生源地，档案、党（团）组织关系随迁生源地，也可根据个人意愿报送派遣方案为“暂不派遣”，户口、档案在学校保留最长两年时间。申请“暂不派遣”的学生需向培养单位提交《2021届毕业生暂不派遣申请表》，培养单位统一报送派遣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color w:val="000000"/>
          <w:kern w:val="0"/>
          <w:sz w:val="28"/>
          <w:szCs w:val="24"/>
          <w:lang w:val="en-US" w:eastAsia="zh-CN" w:bidi="ar"/>
        </w:rPr>
      </w:pPr>
      <w:r>
        <w:rPr>
          <w:rFonts w:ascii="仿宋_GB2312" w:eastAsia="仿宋_GB2312" w:hAnsi="仿宋_GB2312" w:cs="仿宋_GB2312" w:hint="eastAsia"/>
          <w:color w:val="000000"/>
          <w:kern w:val="0"/>
          <w:sz w:val="28"/>
          <w:szCs w:val="24"/>
          <w:lang w:val="en-US" w:eastAsia="zh-CN" w:bidi="ar"/>
        </w:rPr>
        <w:t>暂不派遣到期仍未办理派遣手续的毕业生，由学校向省就业中心统一申请办理回生源地的报到证。</w:t>
      </w:r>
    </w:p>
    <w:p>
      <w:pPr>
        <w:widowControl/>
        <w:spacing w:line="360" w:lineRule="auto"/>
        <w:jc w:val="left"/>
        <w:rPr>
          <w:rFonts w:ascii="仿宋_GB2312" w:eastAsia="仿宋_GB2312" w:hAnsi="仿宋_GB2312" w:cs="仿宋_GB2312" w:hint="eastAsia"/>
          <w:color w:val="000000"/>
          <w:kern w:val="0"/>
          <w:sz w:val="28"/>
          <w:szCs w:val="24"/>
          <w:highlight w:val="none"/>
          <w:lang w:val="en-US" w:eastAsia="zh-CN" w:bidi="ar"/>
        </w:rPr>
      </w:pPr>
      <w:r>
        <w:rPr>
          <w:rFonts w:ascii="仿宋_GB2312" w:eastAsia="仿宋_GB2312" w:hAnsi="仿宋_GB2312" w:cs="仿宋_GB2312" w:hint="eastAsia"/>
          <w:color w:val="000000"/>
          <w:kern w:val="0"/>
          <w:sz w:val="28"/>
          <w:szCs w:val="24"/>
          <w:highlight w:val="none"/>
          <w:lang w:val="en-US" w:eastAsia="zh-CN" w:bidi="ar"/>
        </w:rPr>
        <w:t xml:space="preserve">    培养单位只需填选“派遣性质”为“暂不派遣”，其他信息不需填写。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b/>
          <w:bCs/>
          <w:sz w:val="28"/>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eastAsia"/>
          <w:b/>
          <w:bCs/>
          <w:sz w:val="28"/>
          <w:szCs w:val="24"/>
          <w:lang w:val="en-US" w:eastAsia="zh-CN"/>
        </w:rPr>
      </w:pPr>
      <w:r>
        <w:rPr>
          <w:rFonts w:ascii="仿宋_GB2312" w:eastAsia="仿宋_GB2312" w:hAnsi="仿宋_GB2312" w:cs="仿宋_GB2312" w:hint="eastAsia"/>
          <w:b/>
          <w:bCs/>
          <w:sz w:val="28"/>
          <w:szCs w:val="24"/>
          <w:lang w:val="en-US" w:eastAsia="zh-CN"/>
        </w:rPr>
        <w:t>类型四：“不纳入派遣方案”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default"/>
          <w:color w:val="000000"/>
          <w:kern w:val="0"/>
          <w:sz w:val="28"/>
          <w:szCs w:val="24"/>
          <w:highlight w:val="none"/>
          <w:lang w:val="en-US" w:eastAsia="zh-CN" w:bidi="ar"/>
        </w:rPr>
      </w:pPr>
      <w:r>
        <w:rPr>
          <w:rFonts w:ascii="仿宋_GB2312" w:eastAsia="仿宋_GB2312" w:hAnsi="仿宋_GB2312" w:cs="仿宋_GB2312" w:hint="eastAsia"/>
          <w:color w:val="000000"/>
          <w:kern w:val="0"/>
          <w:sz w:val="28"/>
          <w:szCs w:val="24"/>
          <w:highlight w:val="none"/>
          <w:lang w:val="en-US" w:eastAsia="zh-CN" w:bidi="ar"/>
        </w:rPr>
        <w:t>不能按时毕业的学生暂不纳入派遣方案。学校将根据学籍部门提供的毕业生名单将不能按时毕业学生派遣性质列为“不纳入派遣方案”。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hAnsi="仿宋_GB2312" w:cs="仿宋_GB2312" w:hint="default"/>
          <w:color w:val="000000"/>
          <w:kern w:val="0"/>
          <w:sz w:val="28"/>
          <w:szCs w:val="24"/>
          <w:lang w:val="en-US" w:eastAsia="zh-CN" w:bidi="ar"/>
        </w:rPr>
      </w:pPr>
    </w:p>
    <w:p>
      <w:pPr>
        <w:widowControl/>
        <w:numPr>
          <w:ilvl w:val="255"/>
          <w:numId w:val="0"/>
        </w:numPr>
        <w:spacing w:line="360" w:lineRule="auto"/>
        <w:ind w:firstLine="560" w:firstLineChars="20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（三）</w:t>
      </w:r>
      <w:r>
        <w:rPr>
          <w:rFonts w:ascii="仿宋_GB2312" w:eastAsia="仿宋_GB2312" w:hAnsi="仿宋_GB2312" w:cs="仿宋_GB2312" w:hint="eastAsia"/>
          <w:b/>
          <w:bCs/>
          <w:color w:val="000000"/>
          <w:kern w:val="0"/>
          <w:sz w:val="28"/>
          <w:szCs w:val="24"/>
          <w:lang w:bidi="ar"/>
        </w:rPr>
        <w:t>填写“档案信息”（档案去向信息）</w:t>
      </w:r>
    </w:p>
    <w:p>
      <w:pPr>
        <w:widowControl/>
        <w:spacing w:line="360" w:lineRule="auto"/>
        <w:ind w:firstLine="495"/>
        <w:jc w:val="left"/>
        <w:rPr>
          <w:rFonts w:ascii="仿宋_GB2312" w:eastAsia="仿宋_GB2312" w:hAnsi="仿宋_GB2312" w:cs="仿宋_GB2312" w:hint="eastAsia"/>
          <w:color w:val="000000"/>
          <w:kern w:val="0"/>
          <w:sz w:val="28"/>
          <w:szCs w:val="24"/>
          <w:lang w:bidi="ar"/>
        </w:rPr>
      </w:pPr>
      <w:r>
        <w:rPr>
          <w:rFonts w:ascii="仿宋_GB2312" w:eastAsia="仿宋_GB2312" w:hAnsi="仿宋_GB2312" w:cs="仿宋_GB2312" w:hint="eastAsia"/>
          <w:color w:val="000000"/>
          <w:kern w:val="0"/>
          <w:sz w:val="28"/>
          <w:szCs w:val="24"/>
          <w:lang w:bidi="ar"/>
        </w:rPr>
        <w:t>档案去向信息是重要的档案寄送依据，所有项目均需准确完整，“联系电话”要真实有效。填写人应确保所填写的各项档案去向信息准确无误，承担因填写的信息有误导致档案投递延误或丢失的责任。“档案去向信息”</w:t>
      </w:r>
      <w:r>
        <w:rPr>
          <w:rFonts w:ascii="仿宋_GB2312" w:eastAsia="仿宋_GB2312" w:hAnsi="仿宋_GB2312" w:cs="仿宋_GB2312" w:hint="eastAsia"/>
          <w:color w:val="000000"/>
          <w:kern w:val="0"/>
          <w:sz w:val="28"/>
          <w:szCs w:val="24"/>
          <w:lang w:val="en-US" w:eastAsia="zh-CN" w:bidi="ar"/>
        </w:rPr>
        <w:t>一般</w:t>
      </w:r>
      <w:r>
        <w:rPr>
          <w:rFonts w:ascii="仿宋_GB2312" w:eastAsia="仿宋_GB2312" w:hAnsi="仿宋_GB2312" w:cs="仿宋_GB2312" w:hint="eastAsia"/>
          <w:color w:val="000000"/>
          <w:kern w:val="0"/>
          <w:sz w:val="28"/>
          <w:szCs w:val="24"/>
          <w:lang w:bidi="ar"/>
        </w:rPr>
        <w:t>应与就业派遣方向一致。</w:t>
      </w:r>
    </w:p>
    <w:p>
      <w:pPr>
        <w:widowControl/>
        <w:spacing w:line="360" w:lineRule="auto"/>
        <w:ind w:firstLine="495"/>
        <w:jc w:val="left"/>
        <w:rPr>
          <w:rFonts w:ascii="仿宋_GB2312" w:eastAsia="仿宋_GB2312" w:hAnsi="仿宋_GB2312" w:cs="仿宋_GB2312" w:hint="default"/>
          <w:color w:val="000000"/>
          <w:kern w:val="0"/>
          <w:sz w:val="28"/>
          <w:szCs w:val="24"/>
          <w:lang w:val="en-US" w:bidi="ar"/>
        </w:rPr>
      </w:pPr>
      <w:r>
        <w:rPr>
          <w:rFonts w:ascii="仿宋_GB2312" w:eastAsia="仿宋_GB2312" w:hAnsi="仿宋_GB2312" w:cs="仿宋_GB2312" w:hint="eastAsia"/>
          <w:color w:val="000000"/>
          <w:kern w:val="0"/>
          <w:sz w:val="28"/>
          <w:szCs w:val="24"/>
          <w:lang w:val="en-US" w:eastAsia="zh-CN" w:bidi="ar"/>
        </w:rPr>
        <w:t>派遣性质为“暂不派遣”与“不纳入派遣方案”的，不需填写“档案信息”；派遣性质为“正常派遣”且是回生源地的，如系统默认生成的生源地信息无误，无需另行填写；派遣性质为“正常派遣”且去就业单位或就业地人才市场的，根据实际情况填写；派遣性质为“境内升学”的，根据升学高校要求填写。</w:t>
      </w:r>
    </w:p>
    <w:p>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档案接收单位：应填写单位的全称。</w:t>
      </w:r>
    </w:p>
    <w:p>
      <w:pPr>
        <w:widowControl/>
        <w:numPr>
          <w:ilvl w:val="0"/>
          <w:numId w:val="2"/>
        </w:numPr>
        <w:spacing w:line="360" w:lineRule="auto"/>
        <w:ind w:left="0" w:firstLine="495" w:leftChars="0" w:firstLineChars="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联系人：负责接收档案的具体部门</w:t>
      </w:r>
      <w:r>
        <w:rPr>
          <w:rFonts w:ascii="仿宋_GB2312" w:eastAsia="仿宋_GB2312" w:hAnsi="仿宋_GB2312" w:cs="仿宋_GB2312"/>
          <w:color w:val="000000"/>
          <w:kern w:val="0"/>
          <w:sz w:val="28"/>
          <w:szCs w:val="24"/>
          <w:lang w:bidi="ar"/>
        </w:rPr>
        <w:t>+人名（ 如：人事部 张三）；如果某些人才市场没有明确具体负责接收档案的收件人，可直接写负责接收档案的部门，如档案室，或者填写“档案负责人”。</w:t>
      </w:r>
    </w:p>
    <w:p>
      <w:pPr>
        <w:widowControl/>
        <w:numPr>
          <w:ilvl w:val="0"/>
          <w:numId w:val="2"/>
        </w:numPr>
        <w:spacing w:line="360" w:lineRule="auto"/>
        <w:ind w:left="0" w:firstLine="495" w:leftChars="0" w:firstLineChars="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联系电话：区号</w:t>
      </w:r>
      <w:r>
        <w:rPr>
          <w:rFonts w:ascii="仿宋_GB2312" w:eastAsia="仿宋_GB2312" w:hAnsi="仿宋_GB2312" w:cs="仿宋_GB2312"/>
          <w:color w:val="000000"/>
          <w:kern w:val="0"/>
          <w:sz w:val="28"/>
          <w:szCs w:val="24"/>
          <w:lang w:bidi="ar"/>
        </w:rPr>
        <w:t>-电话，如：020-82331415。可以填写最多三个电话号码，电话号码之间用分号（“；”）间隔。多个固定座机电话号码只需填写一个区号，如：020-82331415；82331418。同时填写固定座机电话号码和手机号码的，应将固定座机电话号码前置，如：020-82331415；13982331418。</w:t>
      </w:r>
    </w:p>
    <w:p>
      <w:pPr>
        <w:widowControl/>
        <w:numPr>
          <w:ilvl w:val="255"/>
          <w:numId w:val="0"/>
        </w:numPr>
        <w:spacing w:line="360" w:lineRule="auto"/>
        <w:ind w:firstLine="560" w:firstLineChars="20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（四）</w:t>
      </w:r>
      <w:r>
        <w:rPr>
          <w:rFonts w:ascii="仿宋_GB2312" w:eastAsia="仿宋_GB2312" w:hAnsi="仿宋_GB2312" w:cs="仿宋_GB2312" w:hint="eastAsia"/>
          <w:b/>
          <w:bCs/>
          <w:color w:val="000000"/>
          <w:kern w:val="0"/>
          <w:sz w:val="28"/>
          <w:szCs w:val="24"/>
          <w:lang w:bidi="ar"/>
        </w:rPr>
        <w:t>填写“其它信息”</w:t>
      </w:r>
    </w:p>
    <w:p>
      <w:pPr>
        <w:widowControl/>
        <w:spacing w:line="360" w:lineRule="auto"/>
        <w:ind w:firstLine="495"/>
        <w:jc w:val="left"/>
        <w:rPr>
          <w:rFonts w:ascii="仿宋_GB2312" w:eastAsia="仿宋_GB2312" w:hAnsi="仿宋_GB2312" w:cs="仿宋_GB2312" w:hint="eastAsia"/>
          <w:color w:val="000000"/>
          <w:kern w:val="0"/>
          <w:sz w:val="28"/>
          <w:szCs w:val="24"/>
          <w:lang w:bidi="ar"/>
        </w:rPr>
      </w:pPr>
      <w:r>
        <w:rPr>
          <w:rFonts w:ascii="仿宋_GB2312" w:eastAsia="仿宋_GB2312" w:hAnsi="仿宋_GB2312" w:cs="仿宋_GB2312" w:hint="eastAsia"/>
          <w:color w:val="000000"/>
          <w:kern w:val="0"/>
          <w:sz w:val="28"/>
          <w:szCs w:val="24"/>
          <w:lang w:bidi="ar"/>
        </w:rPr>
        <w:t>其它信息即为户口迁出中山大学后的落户信息，是办理户口迁移证的重要依据，所有项目内容需真实、准确、完整。</w:t>
      </w:r>
    </w:p>
    <w:p>
      <w:pPr>
        <w:widowControl/>
        <w:numPr>
          <w:ilvl w:val="0"/>
          <w:numId w:val="3"/>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入学时户口是否迁入中大：必填项，根据实际情况选择“是”或“否”。</w:t>
      </w:r>
    </w:p>
    <w:p>
      <w:pPr>
        <w:widowControl/>
        <w:numPr>
          <w:ilvl w:val="0"/>
          <w:numId w:val="3"/>
        </w:numPr>
        <w:spacing w:line="360" w:lineRule="auto"/>
        <w:ind w:left="0" w:firstLine="495" w:leftChars="0" w:firstLineChars="0"/>
        <w:jc w:val="left"/>
        <w:rPr>
          <w:rFonts w:ascii="仿宋_GB2312" w:eastAsia="仿宋_GB2312" w:hAnsi="仿宋_GB2312" w:cs="仿宋_GB2312" w:hint="eastAsia"/>
          <w:color w:val="FF0000"/>
          <w:kern w:val="0"/>
          <w:sz w:val="28"/>
          <w:szCs w:val="24"/>
          <w:lang w:bidi="ar"/>
        </w:rPr>
      </w:pPr>
      <w:r>
        <w:rPr>
          <w:rFonts w:ascii="仿宋_GB2312" w:eastAsia="仿宋_GB2312" w:hAnsi="仿宋_GB2312" w:cs="仿宋_GB2312" w:hint="eastAsia"/>
          <w:color w:val="000000"/>
          <w:kern w:val="0"/>
          <w:sz w:val="28"/>
          <w:szCs w:val="24"/>
          <w:lang w:bidi="ar"/>
        </w:rPr>
        <w:t>户口迁出学校后落户地址：选填项，入学时户口未迁入中大的可不填写</w:t>
      </w:r>
      <w:r>
        <w:rPr>
          <w:rFonts w:ascii="仿宋_GB2312" w:eastAsia="仿宋_GB2312" w:hAnsi="仿宋_GB2312" w:cs="仿宋_GB2312" w:hint="eastAsia"/>
          <w:color w:val="000000"/>
          <w:kern w:val="0"/>
          <w:sz w:val="28"/>
          <w:szCs w:val="24"/>
          <w:lang w:eastAsia="zh-CN" w:bidi="ar"/>
        </w:rPr>
        <w:t>，</w:t>
      </w:r>
      <w:r>
        <w:rPr>
          <w:rFonts w:ascii="仿宋_GB2312" w:eastAsia="仿宋_GB2312" w:hAnsi="仿宋_GB2312" w:cs="仿宋_GB2312" w:hint="eastAsia"/>
          <w:color w:val="000000"/>
          <w:kern w:val="0"/>
          <w:sz w:val="28"/>
          <w:szCs w:val="24"/>
          <w:lang w:val="en-US" w:eastAsia="zh-CN" w:bidi="ar"/>
        </w:rPr>
        <w:t>如用人单位有特殊要求需填写则按单位要求</w:t>
      </w:r>
      <w:r>
        <w:rPr>
          <w:rFonts w:ascii="仿宋_GB2312" w:eastAsia="仿宋_GB2312" w:hAnsi="仿宋_GB2312" w:cs="仿宋_GB2312" w:hint="eastAsia"/>
          <w:color w:val="000000"/>
          <w:kern w:val="0"/>
          <w:sz w:val="28"/>
          <w:szCs w:val="24"/>
          <w:lang w:bidi="ar"/>
        </w:rPr>
        <w:t>；</w:t>
      </w:r>
      <w:r>
        <w:rPr>
          <w:rFonts w:ascii="仿宋_GB2312" w:eastAsia="仿宋_GB2312" w:hAnsi="仿宋_GB2312" w:cs="仿宋_GB2312" w:hint="eastAsia"/>
          <w:color w:val="FF0000"/>
          <w:kern w:val="0"/>
          <w:sz w:val="28"/>
          <w:szCs w:val="24"/>
          <w:lang w:bidi="ar"/>
        </w:rPr>
        <w:t>入学时户口迁入中大的，必须填写此项，且落户地址须与档案寄送地址</w:t>
      </w:r>
      <w:r>
        <w:rPr>
          <w:rFonts w:ascii="仿宋_GB2312" w:eastAsia="仿宋_GB2312" w:hAnsi="仿宋_GB2312" w:cs="仿宋_GB2312" w:hint="eastAsia"/>
          <w:color w:val="FF0000"/>
          <w:kern w:val="0"/>
          <w:sz w:val="28"/>
          <w:szCs w:val="24"/>
          <w:lang w:val="en-US" w:eastAsia="zh-CN" w:bidi="ar"/>
        </w:rPr>
        <w:t>一般</w:t>
      </w:r>
      <w:r>
        <w:rPr>
          <w:rFonts w:ascii="仿宋_GB2312" w:eastAsia="仿宋_GB2312" w:hAnsi="仿宋_GB2312" w:cs="仿宋_GB2312" w:hint="eastAsia"/>
          <w:color w:val="FF0000"/>
          <w:kern w:val="0"/>
          <w:sz w:val="28"/>
          <w:szCs w:val="24"/>
          <w:lang w:bidi="ar"/>
        </w:rPr>
        <w:t>在同一城市，落户地址须具体到门牌号。</w:t>
      </w:r>
    </w:p>
    <w:p>
      <w:pPr>
        <w:widowControl/>
        <w:spacing w:line="360" w:lineRule="auto"/>
        <w:ind w:firstLine="495"/>
        <w:jc w:val="left"/>
        <w:rPr>
          <w:rFonts w:ascii="仿宋_GB2312" w:eastAsia="仿宋_GB2312" w:hAnsi="仿宋_GB2312" w:cs="仿宋_GB2312" w:hint="eastAsia"/>
          <w:color w:val="FF0000"/>
          <w:kern w:val="0"/>
          <w:sz w:val="28"/>
          <w:szCs w:val="24"/>
          <w:lang w:bidi="ar"/>
        </w:rPr>
      </w:pPr>
    </w:p>
    <w:p>
      <w:pPr>
        <w:widowControl/>
        <w:spacing w:line="360" w:lineRule="auto"/>
        <w:ind w:firstLine="560" w:firstLineChars="20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val="en-US" w:eastAsia="zh-CN" w:bidi="ar"/>
        </w:rPr>
        <w:t>五、</w:t>
      </w:r>
      <w:r>
        <w:rPr>
          <w:rFonts w:ascii="仿宋_GB2312" w:eastAsia="仿宋_GB2312" w:hAnsi="仿宋_GB2312" w:cs="仿宋_GB2312" w:hint="eastAsia"/>
          <w:b/>
          <w:bCs/>
          <w:color w:val="000000"/>
          <w:kern w:val="0"/>
          <w:sz w:val="28"/>
          <w:szCs w:val="24"/>
          <w:lang w:bidi="ar"/>
        </w:rPr>
        <w:t>其他事项</w:t>
      </w:r>
    </w:p>
    <w:p>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省就业中心审批通过的派遣方案如果需要修改，可以进入“申请</w:t>
      </w:r>
      <w:r>
        <w:rPr>
          <w:rFonts w:ascii="仿宋_GB2312" w:eastAsia="仿宋_GB2312" w:hAnsi="仿宋_GB2312" w:cs="仿宋_GB2312"/>
          <w:color w:val="000000"/>
          <w:kern w:val="0"/>
          <w:sz w:val="28"/>
          <w:szCs w:val="24"/>
          <w:lang w:bidi="ar"/>
        </w:rPr>
        <w:t>改派</w:t>
      </w:r>
      <w:r>
        <w:rPr>
          <w:rFonts w:ascii="仿宋_GB2312" w:eastAsia="仿宋_GB2312" w:hAnsi="仿宋_GB2312" w:cs="仿宋_GB2312" w:hint="eastAsia"/>
          <w:color w:val="000000"/>
          <w:kern w:val="0"/>
          <w:sz w:val="28"/>
          <w:szCs w:val="24"/>
          <w:lang w:bidi="ar"/>
        </w:rPr>
        <w:t>”界面，点击“修改”进入信息修改界面操作，完成后提交，提交后联系院系负责就业工作的工作人员重新审批。</w:t>
      </w:r>
    </w:p>
    <w:p>
      <w:pPr>
        <w:widowControl/>
        <w:spacing w:line="360" w:lineRule="auto"/>
        <w:jc w:val="left"/>
        <w:rPr>
          <w:rFonts w:ascii="仿宋_GB2312" w:eastAsia="仿宋_GB2312" w:hAnsi="仿宋_GB2312" w:cs="仿宋_GB2312"/>
          <w:color w:val="000000"/>
          <w:kern w:val="0"/>
          <w:sz w:val="28"/>
          <w:szCs w:val="24"/>
          <w:lang w:bidi="ar"/>
        </w:rPr>
      </w:pPr>
    </w:p>
    <w:p>
      <w:pPr>
        <w:widowControl/>
        <w:spacing w:line="360" w:lineRule="auto"/>
        <w:ind w:firstLine="495"/>
        <w:jc w:val="left"/>
        <w:rPr>
          <w:rFonts w:ascii="仿宋_GB2312" w:eastAsia="仿宋_GB2312" w:hAnsi="仿宋_GB2312" w:cs="仿宋_GB2312"/>
          <w:color w:val="000000"/>
          <w:kern w:val="0"/>
          <w:sz w:val="28"/>
          <w:szCs w:val="24"/>
          <w:lang w:bidi="ar"/>
        </w:rPr>
      </w:pPr>
    </w:p>
    <w:p>
      <w:pPr>
        <w:widowControl/>
        <w:spacing w:line="360" w:lineRule="auto"/>
        <w:ind w:firstLine="495"/>
        <w:jc w:val="left"/>
        <w:rPr>
          <w:rFonts w:ascii="仿宋_GB2312" w:eastAsia="仿宋_GB2312" w:hAnsi="仿宋_GB2312" w:cs="仿宋_GB2312"/>
          <w:color w:val="000000"/>
          <w:kern w:val="0"/>
          <w:sz w:val="28"/>
          <w:szCs w:val="24"/>
          <w:lang w:bidi="ar"/>
        </w:rPr>
        <w:sectPr>
          <w:pgSz w:w="11906" w:h="16838"/>
          <w:pgMar w:top="1440" w:right="1418" w:bottom="1440" w:left="1418" w:header="851" w:footer="992" w:gutter="0"/>
          <w:cols w:num="1" w:space="425"/>
          <w:docGrid w:type="lines" w:linePitch="312" w:charSpace="0"/>
        </w:sectPr>
      </w:pPr>
    </w:p>
    <w:p>
      <w:pPr>
        <w:jc w:val="center"/>
        <w:rPr>
          <w:rFonts w:ascii="仿宋_GB2312" w:eastAsia="仿宋_GB2312"/>
          <w:b/>
          <w:bCs/>
          <w:sz w:val="32"/>
          <w:szCs w:val="32"/>
        </w:rPr>
      </w:pPr>
      <w:r>
        <w:rPr>
          <w:rFonts w:ascii="仿宋_GB2312" w:eastAsia="仿宋_GB2312" w:hint="eastAsia"/>
          <w:b/>
          <w:bCs/>
          <w:sz w:val="32"/>
          <w:szCs w:val="32"/>
        </w:rPr>
        <w:t>附表</w:t>
      </w:r>
      <w:r>
        <w:rPr>
          <w:rFonts w:ascii="仿宋_GB2312" w:eastAsia="仿宋_GB2312"/>
          <w:b/>
          <w:bCs/>
          <w:sz w:val="32"/>
          <w:szCs w:val="32"/>
        </w:rPr>
        <w:t>1：</w:t>
      </w:r>
      <w:r>
        <w:rPr>
          <w:rFonts w:ascii="仿宋_GB2312" w:eastAsia="仿宋_GB2312" w:hint="eastAsia"/>
          <w:b/>
          <w:bCs/>
          <w:sz w:val="32"/>
          <w:szCs w:val="32"/>
        </w:rPr>
        <w:t>主管单位填写</w:t>
      </w:r>
      <w:r>
        <w:rPr>
          <w:rFonts w:ascii="仿宋_GB2312" w:eastAsia="仿宋_GB2312"/>
          <w:b/>
          <w:bCs/>
          <w:sz w:val="32"/>
          <w:szCs w:val="32"/>
        </w:rPr>
        <w:t>指引</w:t>
      </w:r>
    </w:p>
    <w:tbl>
      <w:tblPr>
        <w:tblStyle w:val="TableNormal"/>
        <w:tblpPr w:leftFromText="180" w:rightFromText="180" w:vertAnchor="text" w:horzAnchor="page" w:tblpX="853" w:tblpY="1298"/>
        <w:tblOverlap w:val="never"/>
        <w:tblW w:w="14709" w:type="dxa"/>
        <w:tblInd w:w="0" w:type="dxa"/>
        <w:tblCellMar>
          <w:top w:w="0" w:type="dxa"/>
          <w:left w:w="0" w:type="dxa"/>
          <w:bottom w:w="0" w:type="dxa"/>
          <w:right w:w="0" w:type="dxa"/>
        </w:tblCellMar>
      </w:tblPr>
      <w:tblGrid>
        <w:gridCol w:w="1101"/>
        <w:gridCol w:w="1134"/>
        <w:gridCol w:w="3058"/>
        <w:gridCol w:w="3720"/>
        <w:gridCol w:w="3569"/>
        <w:gridCol w:w="2127"/>
      </w:tblGrid>
      <w:tr>
        <w:tblPrEx>
          <w:tblW w:w="14709" w:type="dxa"/>
          <w:tblInd w:w="0" w:type="dxa"/>
          <w:tblCellMar>
            <w:top w:w="0" w:type="dxa"/>
            <w:left w:w="0" w:type="dxa"/>
            <w:bottom w:w="0" w:type="dxa"/>
            <w:right w:w="0" w:type="dxa"/>
          </w:tblCellMar>
        </w:tblPrEx>
        <w:trPr>
          <w:trHeight w:val="629"/>
        </w:trPr>
        <w:tc>
          <w:tcPr>
            <w:tcW w:w="11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jc w:val="center"/>
              <w:rPr>
                <w:rFonts w:ascii="仿宋_GB2312" w:eastAsia="仿宋_GB2312"/>
                <w:sz w:val="22"/>
                <w:szCs w:val="24"/>
              </w:rPr>
            </w:pPr>
            <w:r>
              <w:rPr>
                <w:rFonts w:ascii="仿宋_GB2312" w:eastAsia="仿宋_GB2312" w:hint="eastAsia"/>
                <w:b/>
                <w:bCs/>
                <w:sz w:val="22"/>
                <w:szCs w:val="24"/>
              </w:rPr>
              <w:t>用人单位所在地</w:t>
            </w:r>
          </w:p>
        </w:tc>
        <w:tc>
          <w:tcPr>
            <w:tcW w:w="113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jc w:val="center"/>
              <w:rPr>
                <w:rFonts w:ascii="仿宋_GB2312" w:eastAsia="仿宋_GB2312"/>
                <w:sz w:val="22"/>
                <w:szCs w:val="24"/>
              </w:rPr>
            </w:pPr>
            <w:r>
              <w:rPr>
                <w:rFonts w:ascii="仿宋_GB2312" w:eastAsia="仿宋_GB2312" w:hint="eastAsia"/>
                <w:b/>
                <w:bCs/>
                <w:sz w:val="22"/>
                <w:szCs w:val="24"/>
              </w:rPr>
              <w:t>档案接收具体城市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jc w:val="center"/>
              <w:rPr>
                <w:rFonts w:ascii="仿宋_GB2312" w:eastAsia="仿宋_GB2312"/>
                <w:sz w:val="22"/>
                <w:szCs w:val="24"/>
              </w:rPr>
            </w:pPr>
            <w:r>
              <w:rPr>
                <w:rFonts w:ascii="仿宋_GB2312" w:eastAsia="仿宋_GB2312" w:hint="eastAsia"/>
                <w:b/>
                <w:bCs/>
                <w:sz w:val="22"/>
                <w:szCs w:val="24"/>
              </w:rPr>
              <w:t>档案接收单位名称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jc w:val="center"/>
              <w:rPr>
                <w:rFonts w:ascii="仿宋_GB2312" w:eastAsia="仿宋_GB2312"/>
                <w:sz w:val="22"/>
                <w:szCs w:val="24"/>
              </w:rPr>
            </w:pPr>
            <w:r>
              <w:rPr>
                <w:rFonts w:ascii="仿宋_GB2312" w:eastAsia="仿宋_GB2312" w:hint="eastAsia"/>
                <w:b/>
                <w:bCs/>
                <w:sz w:val="22"/>
                <w:szCs w:val="24"/>
              </w:rPr>
              <w:t>查看方法</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jc w:val="center"/>
              <w:rPr>
                <w:rFonts w:ascii="仿宋_GB2312" w:eastAsia="仿宋_GB2312"/>
                <w:sz w:val="22"/>
                <w:szCs w:val="24"/>
              </w:rPr>
            </w:pPr>
            <w:r>
              <w:rPr>
                <w:rFonts w:ascii="仿宋_GB2312" w:eastAsia="仿宋_GB2312" w:hint="eastAsia"/>
                <w:b/>
                <w:bCs/>
                <w:sz w:val="22"/>
                <w:szCs w:val="24"/>
              </w:rPr>
              <w:t>主管单位的填写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jc w:val="center"/>
              <w:rPr>
                <w:rFonts w:ascii="仿宋_GB2312" w:eastAsia="仿宋_GB2312"/>
                <w:sz w:val="22"/>
                <w:szCs w:val="24"/>
              </w:rPr>
            </w:pPr>
            <w:r>
              <w:rPr>
                <w:rFonts w:ascii="仿宋_GB2312" w:eastAsia="仿宋_GB2312" w:hint="eastAsia"/>
                <w:b/>
                <w:bCs/>
                <w:sz w:val="22"/>
                <w:szCs w:val="24"/>
              </w:rPr>
              <w:t>用人单位范例</w:t>
            </w:r>
          </w:p>
        </w:tc>
      </w:tr>
      <w:tr>
        <w:tblPrEx>
          <w:tblW w:w="14709" w:type="dxa"/>
          <w:tblInd w:w="0" w:type="dxa"/>
          <w:tblCellMar>
            <w:top w:w="0" w:type="dxa"/>
            <w:left w:w="0" w:type="dxa"/>
            <w:bottom w:w="0" w:type="dxa"/>
            <w:right w:w="0" w:type="dxa"/>
          </w:tblCellMar>
        </w:tblPrEx>
        <w:trPr>
          <w:trHeight w:val="420"/>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广东省内</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广州</w:t>
            </w: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交通银行广东省分行</w:t>
            </w:r>
          </w:p>
        </w:tc>
      </w:tr>
      <w:tr>
        <w:tblPrEx>
          <w:tblW w:w="14709" w:type="dxa"/>
          <w:tblInd w:w="0" w:type="dxa"/>
          <w:tblCellMar>
            <w:top w:w="0" w:type="dxa"/>
            <w:left w:w="0" w:type="dxa"/>
            <w:bottom w:w="0" w:type="dxa"/>
            <w:right w:w="0" w:type="dxa"/>
          </w:tblCellMar>
        </w:tblPrEx>
        <w:trPr>
          <w:trHeight w:val="418"/>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毕业生需在系统上传有人事接收权的接收函，且接收函上的盖章单位应在下拉列表中，按照下拉列表中的单位填写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10"/>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各类人才市场接收档案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广州南方人才市场、中国南方人才市场</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广州市高校毕业生就业指导中心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广东省人才服务局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广东省人才服务局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118"/>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720"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广东省人才市场</w:t>
            </w:r>
          </w:p>
        </w:tc>
        <w:tc>
          <w:tcPr>
            <w:tcW w:w="3569"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广东省人才市场</w:t>
            </w:r>
          </w:p>
        </w:tc>
        <w:tc>
          <w:tcPr>
            <w:tcW w:w="2127"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2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720"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中国南海石油联合服务总公司</w:t>
            </w:r>
          </w:p>
        </w:tc>
        <w:tc>
          <w:tcPr>
            <w:tcW w:w="3569"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广东南油对外服务有限公司</w:t>
            </w:r>
          </w:p>
        </w:tc>
        <w:tc>
          <w:tcPr>
            <w:tcW w:w="2127"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p>
        </w:tc>
      </w:tr>
      <w:tr>
        <w:tblPrEx>
          <w:tblW w:w="14709" w:type="dxa"/>
          <w:tblInd w:w="0" w:type="dxa"/>
          <w:tblCellMar>
            <w:top w:w="0" w:type="dxa"/>
            <w:left w:w="0" w:type="dxa"/>
            <w:bottom w:w="0" w:type="dxa"/>
            <w:right w:w="0" w:type="dxa"/>
          </w:tblCellMar>
        </w:tblPrEx>
        <w:trPr>
          <w:trHeight w:val="211"/>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广东省科技人才服务中心</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广东省科技人才服务中心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深圳</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hint="default"/>
                <w:sz w:val="22"/>
                <w:szCs w:val="24"/>
                <w:lang w:val="en-US" w:eastAsia="zh-CN"/>
              </w:rPr>
            </w:pPr>
            <w:r>
              <w:rPr>
                <w:rFonts w:ascii="仿宋_GB2312" w:eastAsia="仿宋_GB2312" w:hint="eastAsia"/>
                <w:sz w:val="22"/>
                <w:szCs w:val="24"/>
              </w:rPr>
              <w:t>深圳海关、深圳大学、深圳出入境边防检查总站、深圳市社会发展研究中心、</w:t>
            </w:r>
            <w:r>
              <w:rPr>
                <w:rFonts w:ascii="仿宋_GB2312" w:eastAsia="仿宋_GB2312"/>
                <w:sz w:val="22"/>
                <w:szCs w:val="24"/>
              </w:rPr>
              <w:t xml:space="preserve"> </w:t>
            </w:r>
            <w:r>
              <w:rPr>
                <w:rFonts w:ascii="仿宋_GB2312" w:eastAsia="仿宋_GB2312" w:hint="eastAsia"/>
                <w:sz w:val="22"/>
                <w:szCs w:val="24"/>
              </w:rPr>
              <w:t>深圳市教育局等</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深圳市社会发展研究中心</w:t>
            </w:r>
          </w:p>
        </w:tc>
      </w:tr>
      <w:tr>
        <w:tblPrEx>
          <w:tblW w:w="14709" w:type="dxa"/>
          <w:tblInd w:w="0" w:type="dxa"/>
          <w:tblCellMar>
            <w:top w:w="0" w:type="dxa"/>
            <w:left w:w="0" w:type="dxa"/>
            <w:bottom w:w="0" w:type="dxa"/>
            <w:right w:w="0" w:type="dxa"/>
          </w:tblCellMar>
        </w:tblPrEx>
        <w:trPr>
          <w:trHeight w:val="44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深圳市人力资源和社会保障局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r>
              <w:rPr>
                <w:rFonts w:ascii="仿宋_GB2312" w:eastAsia="仿宋_GB2312" w:hint="eastAsia"/>
                <w:sz w:val="22"/>
                <w:szCs w:val="24"/>
              </w:rPr>
              <w:t>华为技术有限公司</w:t>
            </w:r>
          </w:p>
        </w:tc>
      </w:tr>
      <w:tr>
        <w:tblPrEx>
          <w:tblW w:w="14709" w:type="dxa"/>
          <w:tblInd w:w="0" w:type="dxa"/>
          <w:tblCellMar>
            <w:top w:w="0" w:type="dxa"/>
            <w:left w:w="0" w:type="dxa"/>
            <w:bottom w:w="0" w:type="dxa"/>
            <w:right w:w="0" w:type="dxa"/>
          </w:tblCellMar>
        </w:tblPrEx>
        <w:trPr>
          <w:trHeight w:val="83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珠海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拱北海关、珠海（国家）高新技术产业开发区管理委员会科技创新和产业发展局、珠海市香洲区人力资源和社会保障局等单位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珠海市人力资源和社会保障局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佛山</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佛山科学技术学院</w:t>
            </w:r>
          </w:p>
        </w:tc>
      </w:tr>
      <w:tr>
        <w:tblPrEx>
          <w:tblW w:w="14709" w:type="dxa"/>
          <w:tblInd w:w="0" w:type="dxa"/>
          <w:tblCellMar>
            <w:top w:w="0" w:type="dxa"/>
            <w:left w:w="0" w:type="dxa"/>
            <w:bottom w:w="0" w:type="dxa"/>
            <w:right w:w="0" w:type="dxa"/>
          </w:tblCellMar>
        </w:tblPrEx>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顺德或南海人才市场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顺德或南海区人才发展服务中心盖章或提供接收函</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佛山市顺德区人力资源和社会保障局、佛山市南海区人力资源和社会保障局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其他人才市场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其他人才市场地址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佛山市人力资源和社会保障局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省内其他城</w:t>
            </w:r>
            <w:r>
              <w:rPr>
                <w:rFonts w:ascii="仿宋_GB2312" w:eastAsia="仿宋_GB2312"/>
                <w:sz w:val="22"/>
                <w:szCs w:val="24"/>
              </w:rPr>
              <w:t xml:space="preserve"> </w:t>
            </w:r>
            <w:r>
              <w:rPr>
                <w:rFonts w:ascii="仿宋_GB2312" w:eastAsia="仿宋_GB2312" w:hint="eastAsia"/>
                <w:sz w:val="22"/>
                <w:szCs w:val="24"/>
              </w:rPr>
              <w:t>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填写下拉列表中的单位名称，同时和学生确认是否可以，若不可以，则按下条填写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623"/>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其他情况</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档案接收所在地的人社局，可在下拉列表中查具体名称；如东莞的东莞市人力资源和社会保障局；中山的中山市人力资源和社会保障局。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09"/>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广东省外</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北京</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hint="default"/>
                <w:sz w:val="22"/>
                <w:szCs w:val="24"/>
                <w:highlight w:val="none"/>
                <w:lang w:val="en-US" w:eastAsia="zh-CN"/>
              </w:rPr>
            </w:pPr>
            <w:r>
              <w:rPr>
                <w:rFonts w:ascii="仿宋_GB2312" w:eastAsia="仿宋_GB2312" w:hint="eastAsia"/>
                <w:sz w:val="22"/>
                <w:szCs w:val="24"/>
                <w:highlight w:val="none"/>
                <w:lang w:val="en-US" w:eastAsia="zh-CN"/>
              </w:rPr>
              <w:t>博士后单位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hint="eastAsia"/>
                <w:sz w:val="22"/>
                <w:szCs w:val="24"/>
                <w:highlight w:val="none"/>
                <w:lang w:eastAsia="zh-CN"/>
              </w:rPr>
            </w:pPr>
            <w:r>
              <w:rPr>
                <w:rFonts w:ascii="仿宋_GB2312" w:eastAsia="仿宋_GB2312" w:hint="eastAsia"/>
                <w:sz w:val="22"/>
                <w:szCs w:val="24"/>
                <w:highlight w:val="none"/>
              </w:rPr>
              <w:t>单位名称</w:t>
            </w:r>
            <w:r>
              <w:rPr>
                <w:rFonts w:ascii="仿宋_GB2312" w:eastAsia="仿宋_GB2312" w:hint="eastAsia"/>
                <w:sz w:val="22"/>
                <w:szCs w:val="24"/>
                <w:highlight w:val="none"/>
                <w:lang w:val="en-US" w:eastAsia="zh-CN"/>
              </w:rPr>
              <w:t>可不</w:t>
            </w:r>
            <w:r>
              <w:rPr>
                <w:rFonts w:ascii="仿宋_GB2312" w:eastAsia="仿宋_GB2312" w:hint="eastAsia"/>
                <w:sz w:val="22"/>
                <w:szCs w:val="24"/>
                <w:highlight w:val="none"/>
              </w:rPr>
              <w:t>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填写单位名称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用人单位盖章名称或地方毕业生上级主管单位部门不在下拉列表类别中，根据用人单位要求确认主管单位和具体派遣单位名称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hint="default"/>
                <w:sz w:val="22"/>
                <w:szCs w:val="24"/>
                <w:highlight w:val="none"/>
                <w:lang w:val="en-US" w:eastAsia="zh-CN"/>
              </w:rPr>
            </w:pPr>
            <w:r>
              <w:rPr>
                <w:rFonts w:ascii="仿宋_GB2312" w:eastAsia="仿宋_GB2312" w:hint="eastAsia"/>
                <w:color w:val="C00000"/>
                <w:sz w:val="22"/>
                <w:szCs w:val="24"/>
                <w:highlight w:val="none"/>
              </w:rPr>
              <w:t>可填写单位名称，也可填写到区的人社局名称</w:t>
            </w:r>
            <w:r>
              <w:rPr>
                <w:rFonts w:ascii="仿宋_GB2312" w:eastAsia="仿宋_GB2312" w:hint="eastAsia"/>
                <w:color w:val="C00000"/>
                <w:sz w:val="22"/>
                <w:szCs w:val="24"/>
                <w:highlight w:val="none"/>
                <w:lang w:val="en-US" w:eastAsia="zh-CN"/>
              </w:rPr>
              <w:t>等</w:t>
            </w:r>
            <w:r>
              <w:rPr>
                <w:rFonts w:ascii="仿宋_GB2312" w:eastAsia="仿宋_GB2312" w:hint="eastAsia"/>
                <w:color w:val="C00000"/>
                <w:sz w:val="22"/>
                <w:szCs w:val="24"/>
                <w:highlight w:val="none"/>
              </w:rPr>
              <w:t>，</w:t>
            </w:r>
            <w:r>
              <w:rPr>
                <w:rFonts w:ascii="仿宋_GB2312" w:eastAsia="仿宋_GB2312" w:hint="eastAsia"/>
                <w:color w:val="C00000"/>
                <w:sz w:val="22"/>
                <w:szCs w:val="24"/>
                <w:highlight w:val="none"/>
                <w:lang w:val="en-US" w:eastAsia="zh-CN"/>
              </w:rPr>
              <w:t>具体要求与用人单位确认</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0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上海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hint="default"/>
                <w:sz w:val="22"/>
                <w:szCs w:val="24"/>
                <w:highlight w:val="none"/>
                <w:lang w:val="en-US" w:eastAsia="zh-CN"/>
              </w:rPr>
            </w:pPr>
            <w:r>
              <w:rPr>
                <w:rFonts w:ascii="仿宋_GB2312" w:eastAsia="仿宋_GB2312" w:hint="eastAsia"/>
                <w:sz w:val="22"/>
                <w:szCs w:val="24"/>
                <w:highlight w:val="none"/>
                <w:lang w:val="en-US" w:eastAsia="zh-CN"/>
              </w:rPr>
              <w:t>博士后</w:t>
            </w:r>
            <w:r>
              <w:rPr>
                <w:rFonts w:ascii="仿宋_GB2312" w:eastAsia="仿宋_GB2312" w:hint="eastAsia"/>
                <w:sz w:val="22"/>
                <w:szCs w:val="24"/>
                <w:highlight w:val="none"/>
              </w:rPr>
              <w:t>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单位名称</w:t>
            </w:r>
            <w:r>
              <w:rPr>
                <w:rFonts w:ascii="仿宋_GB2312" w:eastAsia="仿宋_GB2312" w:hint="eastAsia"/>
                <w:sz w:val="22"/>
                <w:szCs w:val="24"/>
                <w:highlight w:val="none"/>
                <w:lang w:val="en-US" w:eastAsia="zh-CN"/>
              </w:rPr>
              <w:t>可不</w:t>
            </w:r>
            <w:r>
              <w:rPr>
                <w:rFonts w:ascii="仿宋_GB2312" w:eastAsia="仿宋_GB2312" w:hint="eastAsia"/>
                <w:sz w:val="22"/>
                <w:szCs w:val="24"/>
                <w:highlight w:val="none"/>
              </w:rPr>
              <w:t>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填写单位名称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highlight w:val="none"/>
              </w:rPr>
            </w:pPr>
            <w:r>
              <w:rPr>
                <w:rFonts w:ascii="仿宋_GB2312" w:eastAsia="仿宋_GB2312" w:hint="eastAsia"/>
                <w:sz w:val="22"/>
                <w:szCs w:val="24"/>
                <w:highlight w:val="none"/>
              </w:rPr>
              <w:t>用人单位盖章名称或地方毕业生上级主管单位部门不在下拉列表中。根据用人单位要求确认主管单位和具体派遣单位名称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hint="eastAsia"/>
                <w:sz w:val="22"/>
                <w:szCs w:val="24"/>
                <w:highlight w:val="none"/>
                <w:lang w:eastAsia="zh-CN"/>
              </w:rPr>
            </w:pPr>
            <w:r>
              <w:rPr>
                <w:rFonts w:ascii="仿宋_GB2312" w:eastAsia="仿宋_GB2312" w:hint="eastAsia"/>
                <w:color w:val="C00000"/>
                <w:sz w:val="22"/>
                <w:szCs w:val="24"/>
                <w:highlight w:val="none"/>
              </w:rPr>
              <w:t>可填写单位名称，也可填写上海市学生事务中心</w:t>
            </w:r>
            <w:r>
              <w:rPr>
                <w:rFonts w:ascii="仿宋_GB2312" w:eastAsia="仿宋_GB2312" w:hint="eastAsia"/>
                <w:color w:val="C00000"/>
                <w:sz w:val="22"/>
                <w:szCs w:val="24"/>
                <w:highlight w:val="none"/>
                <w:lang w:eastAsia="zh-CN"/>
              </w:rPr>
              <w:t>，</w:t>
            </w:r>
            <w:r>
              <w:rPr>
                <w:rFonts w:ascii="仿宋_GB2312" w:eastAsia="仿宋_GB2312" w:hint="eastAsia"/>
                <w:color w:val="C00000"/>
                <w:sz w:val="22"/>
                <w:szCs w:val="24"/>
                <w:highlight w:val="none"/>
                <w:lang w:val="en-US" w:eastAsia="zh-CN"/>
              </w:rPr>
              <w:t>具体要求与用人单位确认</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pPr>
              <w:rPr>
                <w:rFonts w:ascii="仿宋_GB2312" w:eastAsia="仿宋_GB2312"/>
                <w:sz w:val="22"/>
                <w:szCs w:val="24"/>
              </w:rPr>
            </w:pPr>
            <w:r>
              <w:rPr>
                <w:rFonts w:ascii="仿宋_GB2312" w:eastAsia="仿宋_GB2312" w:hint="eastAsia"/>
                <w:sz w:val="22"/>
                <w:szCs w:val="24"/>
              </w:rPr>
              <w:t>其他地</w:t>
            </w:r>
            <w:r>
              <w:rPr>
                <w:rFonts w:ascii="仿宋_GB2312" w:eastAsia="仿宋_GB2312"/>
                <w:sz w:val="22"/>
                <w:szCs w:val="24"/>
              </w:rPr>
              <w:t xml:space="preserve"> </w:t>
            </w:r>
            <w:r>
              <w:rPr>
                <w:rFonts w:ascii="仿宋_GB2312" w:eastAsia="仿宋_GB2312" w:hint="eastAsia"/>
                <w:sz w:val="22"/>
                <w:szCs w:val="24"/>
              </w:rPr>
              <w:t>区</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工作单位名称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工作单位接收档案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用人单位名称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sz w:val="22"/>
                <w:szCs w:val="24"/>
              </w:rPr>
              <w:t xml:space="preserve"> </w:t>
            </w:r>
          </w:p>
        </w:tc>
      </w:tr>
      <w:tr>
        <w:tblPrEx>
          <w:tblW w:w="14709" w:type="dxa"/>
          <w:tblInd w:w="0" w:type="dxa"/>
          <w:tblCellMar>
            <w:top w:w="0" w:type="dxa"/>
            <w:left w:w="0" w:type="dxa"/>
            <w:bottom w:w="0" w:type="dxa"/>
            <w:right w:w="0" w:type="dxa"/>
          </w:tblCellMar>
        </w:tblPrEx>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人才市场名称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sz w:val="22"/>
                <w:szCs w:val="24"/>
              </w:rPr>
              <w:t>人才市场接收档案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r>
              <w:rPr>
                <w:rFonts w:ascii="仿宋_GB2312" w:eastAsia="仿宋_GB2312" w:hint="eastAsia"/>
                <w:color w:val="C00000"/>
                <w:sz w:val="22"/>
                <w:szCs w:val="24"/>
                <w:lang w:val="en-US" w:eastAsia="zh-CN"/>
              </w:rPr>
              <w:t>一般</w:t>
            </w:r>
            <w:r>
              <w:rPr>
                <w:rFonts w:ascii="仿宋_GB2312" w:eastAsia="仿宋_GB2312" w:hint="eastAsia"/>
                <w:color w:val="C00000"/>
                <w:sz w:val="22"/>
                <w:szCs w:val="24"/>
              </w:rPr>
              <w:t>按照就业协议书上人才市场盖章</w:t>
            </w:r>
            <w:r>
              <w:rPr>
                <w:rFonts w:ascii="仿宋_GB2312" w:eastAsia="仿宋_GB2312" w:hint="eastAsia"/>
                <w:color w:val="C00000"/>
                <w:sz w:val="22"/>
                <w:szCs w:val="24"/>
                <w:lang w:val="en-US" w:eastAsia="zh-CN"/>
              </w:rPr>
              <w:t>或在主管单位下拉列表选择与该人才市场对应的主管单位名称</w:t>
            </w:r>
            <w:r>
              <w:rPr>
                <w:rFonts w:ascii="仿宋_GB2312" w:eastAsia="仿宋_GB2312" w:hint="eastAsia"/>
                <w:color w:val="C00000"/>
                <w:sz w:val="22"/>
                <w:szCs w:val="24"/>
              </w:rPr>
              <w:t>填写</w:t>
            </w:r>
            <w:r>
              <w:rPr>
                <w:rFonts w:ascii="仿宋_GB2312" w:eastAsia="仿宋_GB2312" w:hint="eastAsia"/>
                <w:color w:val="C00000"/>
                <w:sz w:val="22"/>
                <w:szCs w:val="24"/>
                <w:lang w:eastAsia="zh-CN"/>
              </w:rPr>
              <w:t>，</w:t>
            </w:r>
            <w:r>
              <w:rPr>
                <w:rFonts w:ascii="仿宋_GB2312" w:eastAsia="仿宋_GB2312" w:hint="eastAsia"/>
                <w:color w:val="C00000"/>
                <w:sz w:val="22"/>
                <w:szCs w:val="24"/>
                <w:lang w:val="en-US" w:eastAsia="zh-CN"/>
              </w:rPr>
              <w:t>用人单位有特殊要求可填写单位名称。</w:t>
            </w:r>
            <w:bookmarkStart w:id="0" w:name="_GoBack"/>
            <w:bookmarkEnd w:id="0"/>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pPr>
              <w:rPr>
                <w:rFonts w:ascii="仿宋_GB2312" w:eastAsia="仿宋_GB2312"/>
                <w:sz w:val="22"/>
                <w:szCs w:val="24"/>
              </w:rPr>
            </w:pPr>
          </w:p>
        </w:tc>
      </w:tr>
    </w:tbl>
    <w:p>
      <w:pPr>
        <w:widowControl/>
        <w:spacing w:line="360" w:lineRule="auto"/>
        <w:jc w:val="center"/>
        <w:rPr>
          <w:rFonts w:ascii="仿宋_GB2312" w:eastAsia="仿宋_GB2312" w:hAnsi="仿宋_GB2312" w:cs="仿宋_GB2312"/>
          <w:b/>
          <w:bCs/>
          <w:color w:val="000000"/>
          <w:kern w:val="0"/>
          <w:sz w:val="36"/>
          <w:szCs w:val="36"/>
          <w:lang w:bidi="ar"/>
        </w:rPr>
        <w:sectPr>
          <w:pgSz w:w="16838" w:h="11906" w:orient="landscape"/>
          <w:pgMar w:top="1418" w:right="1440" w:bottom="1418" w:left="1440" w:header="851" w:footer="992" w:gutter="0"/>
          <w:cols w:num="1" w:space="425"/>
          <w:docGrid w:type="lines" w:linePitch="312" w:charSpace="0"/>
        </w:sectPr>
      </w:pPr>
    </w:p>
    <w:p>
      <w:pPr>
        <w:widowControl/>
        <w:spacing w:line="360" w:lineRule="auto"/>
        <w:jc w:val="left"/>
        <w:rPr>
          <w:rFonts w:ascii="仿宋_GB2312" w:eastAsia="仿宋_GB2312" w:hAnsi="仿宋_GB2312" w:cs="仿宋_GB2312"/>
          <w:b/>
          <w:bCs/>
          <w:color w:val="000000"/>
          <w:kern w:val="0"/>
          <w:szCs w:val="21"/>
          <w:lang w:bidi="ar"/>
        </w:rPr>
      </w:pPr>
    </w:p>
    <w:sectPr>
      <w:pgSz w:w="11906" w:h="16838"/>
      <w:pgMar w:top="1440" w:right="1418" w:bottom="1440" w:left="141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1D03AE0"/>
    <w:multiLevelType w:val="singleLevel"/>
    <w:tmpl w:val="E1D03AE0"/>
    <w:lvl w:ilvl="0">
      <w:start w:val="1"/>
      <w:numFmt w:val="decimal"/>
      <w:suff w:val="space"/>
      <w:lvlText w:val="%1."/>
      <w:lvlJc w:val="left"/>
    </w:lvl>
  </w:abstractNum>
  <w:abstractNum w:abstractNumId="1">
    <w:nsid w:val="37D30C87"/>
    <w:multiLevelType w:val="singleLevel"/>
    <w:tmpl w:val="37D30C87"/>
    <w:lvl w:ilvl="0">
      <w:start w:val="1"/>
      <w:numFmt w:val="decimal"/>
      <w:suff w:val="space"/>
      <w:lvlText w:val="%1."/>
      <w:lvlJc w:val="left"/>
    </w:lvl>
  </w:abstractNum>
  <w:abstractNum w:abstractNumId="2">
    <w:nsid w:val="40EBBD2B"/>
    <w:multiLevelType w:val="singleLevel"/>
    <w:tmpl w:val="40EBBD2B"/>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47"/>
    <w:rsid w:val="D5FB5794"/>
    <w:rsid w:val="00000624"/>
    <w:rsid w:val="0000066F"/>
    <w:rsid w:val="00003C64"/>
    <w:rsid w:val="00003E8C"/>
    <w:rsid w:val="0000460D"/>
    <w:rsid w:val="00006B70"/>
    <w:rsid w:val="000377D1"/>
    <w:rsid w:val="00065288"/>
    <w:rsid w:val="000834F7"/>
    <w:rsid w:val="00090130"/>
    <w:rsid w:val="000A45E9"/>
    <w:rsid w:val="000D54A5"/>
    <w:rsid w:val="000D5565"/>
    <w:rsid w:val="000D5A8A"/>
    <w:rsid w:val="000E7E18"/>
    <w:rsid w:val="000F3A1F"/>
    <w:rsid w:val="000F4CE3"/>
    <w:rsid w:val="00105BC3"/>
    <w:rsid w:val="00131CEB"/>
    <w:rsid w:val="00142492"/>
    <w:rsid w:val="00146E3D"/>
    <w:rsid w:val="00154484"/>
    <w:rsid w:val="00156AF1"/>
    <w:rsid w:val="00180E80"/>
    <w:rsid w:val="001869A0"/>
    <w:rsid w:val="00191263"/>
    <w:rsid w:val="00195C02"/>
    <w:rsid w:val="001A13CA"/>
    <w:rsid w:val="001A658B"/>
    <w:rsid w:val="001B71B2"/>
    <w:rsid w:val="001C36CA"/>
    <w:rsid w:val="001D23F4"/>
    <w:rsid w:val="001F01A1"/>
    <w:rsid w:val="001F62A7"/>
    <w:rsid w:val="001F630D"/>
    <w:rsid w:val="001F7791"/>
    <w:rsid w:val="002001B9"/>
    <w:rsid w:val="00231F1D"/>
    <w:rsid w:val="00235336"/>
    <w:rsid w:val="00235F32"/>
    <w:rsid w:val="00247F94"/>
    <w:rsid w:val="002561F8"/>
    <w:rsid w:val="00280B23"/>
    <w:rsid w:val="0028307F"/>
    <w:rsid w:val="00291C34"/>
    <w:rsid w:val="002A0C3D"/>
    <w:rsid w:val="002B28E6"/>
    <w:rsid w:val="002B5080"/>
    <w:rsid w:val="002C1C36"/>
    <w:rsid w:val="002C47E9"/>
    <w:rsid w:val="002E1111"/>
    <w:rsid w:val="002F329F"/>
    <w:rsid w:val="003033C5"/>
    <w:rsid w:val="003053D7"/>
    <w:rsid w:val="00310D53"/>
    <w:rsid w:val="00312F73"/>
    <w:rsid w:val="00331FBB"/>
    <w:rsid w:val="00337ACC"/>
    <w:rsid w:val="003464BB"/>
    <w:rsid w:val="00347E61"/>
    <w:rsid w:val="003527A6"/>
    <w:rsid w:val="0035340C"/>
    <w:rsid w:val="003731C0"/>
    <w:rsid w:val="0037517F"/>
    <w:rsid w:val="003A3698"/>
    <w:rsid w:val="003B08DA"/>
    <w:rsid w:val="003B36A0"/>
    <w:rsid w:val="003B7B4A"/>
    <w:rsid w:val="003C726A"/>
    <w:rsid w:val="003C752F"/>
    <w:rsid w:val="003D4195"/>
    <w:rsid w:val="004019E4"/>
    <w:rsid w:val="004111F2"/>
    <w:rsid w:val="00413EBE"/>
    <w:rsid w:val="00423033"/>
    <w:rsid w:val="00423D14"/>
    <w:rsid w:val="00427EDD"/>
    <w:rsid w:val="00452F34"/>
    <w:rsid w:val="00462CC3"/>
    <w:rsid w:val="004679E5"/>
    <w:rsid w:val="004705ED"/>
    <w:rsid w:val="0047427C"/>
    <w:rsid w:val="00486A0B"/>
    <w:rsid w:val="00497B0E"/>
    <w:rsid w:val="004A1E0A"/>
    <w:rsid w:val="004A1F42"/>
    <w:rsid w:val="004A7665"/>
    <w:rsid w:val="004B32E5"/>
    <w:rsid w:val="004B32EA"/>
    <w:rsid w:val="004B70CE"/>
    <w:rsid w:val="004C4674"/>
    <w:rsid w:val="004E0D37"/>
    <w:rsid w:val="004E7058"/>
    <w:rsid w:val="004F0124"/>
    <w:rsid w:val="004F02B7"/>
    <w:rsid w:val="00511BAA"/>
    <w:rsid w:val="005157F0"/>
    <w:rsid w:val="0051725A"/>
    <w:rsid w:val="00523F76"/>
    <w:rsid w:val="0052747C"/>
    <w:rsid w:val="00527BB1"/>
    <w:rsid w:val="00547B76"/>
    <w:rsid w:val="00550DE8"/>
    <w:rsid w:val="00550E2C"/>
    <w:rsid w:val="00552A3C"/>
    <w:rsid w:val="0055503D"/>
    <w:rsid w:val="00561F47"/>
    <w:rsid w:val="00565428"/>
    <w:rsid w:val="005661BA"/>
    <w:rsid w:val="0056679F"/>
    <w:rsid w:val="00573D52"/>
    <w:rsid w:val="00583E02"/>
    <w:rsid w:val="00583FE3"/>
    <w:rsid w:val="00584F2A"/>
    <w:rsid w:val="00590F94"/>
    <w:rsid w:val="005964A4"/>
    <w:rsid w:val="00597213"/>
    <w:rsid w:val="005B137B"/>
    <w:rsid w:val="005B2B25"/>
    <w:rsid w:val="005C6E60"/>
    <w:rsid w:val="005D4218"/>
    <w:rsid w:val="005E35B1"/>
    <w:rsid w:val="005E656C"/>
    <w:rsid w:val="005F0469"/>
    <w:rsid w:val="006012F2"/>
    <w:rsid w:val="00602CD5"/>
    <w:rsid w:val="00614012"/>
    <w:rsid w:val="006401F1"/>
    <w:rsid w:val="006405BD"/>
    <w:rsid w:val="00646E0F"/>
    <w:rsid w:val="00671F3A"/>
    <w:rsid w:val="00673F8D"/>
    <w:rsid w:val="00674044"/>
    <w:rsid w:val="00674537"/>
    <w:rsid w:val="006809D2"/>
    <w:rsid w:val="00691C1F"/>
    <w:rsid w:val="00691F5F"/>
    <w:rsid w:val="00692B9A"/>
    <w:rsid w:val="006A7785"/>
    <w:rsid w:val="006B674E"/>
    <w:rsid w:val="006B73BD"/>
    <w:rsid w:val="006C6F18"/>
    <w:rsid w:val="006D17F9"/>
    <w:rsid w:val="006D1FA5"/>
    <w:rsid w:val="006D44AB"/>
    <w:rsid w:val="006D4FD9"/>
    <w:rsid w:val="006D6562"/>
    <w:rsid w:val="006E3BAC"/>
    <w:rsid w:val="006E7D1A"/>
    <w:rsid w:val="006F4A1E"/>
    <w:rsid w:val="00700319"/>
    <w:rsid w:val="00712FDB"/>
    <w:rsid w:val="00715BF1"/>
    <w:rsid w:val="00716F17"/>
    <w:rsid w:val="0072681F"/>
    <w:rsid w:val="007423D1"/>
    <w:rsid w:val="00761530"/>
    <w:rsid w:val="00775D98"/>
    <w:rsid w:val="00781E31"/>
    <w:rsid w:val="00790B64"/>
    <w:rsid w:val="007A2220"/>
    <w:rsid w:val="007A79ED"/>
    <w:rsid w:val="007C23A0"/>
    <w:rsid w:val="007D07DA"/>
    <w:rsid w:val="007D21B9"/>
    <w:rsid w:val="007D62F2"/>
    <w:rsid w:val="007F1828"/>
    <w:rsid w:val="00801416"/>
    <w:rsid w:val="00805B18"/>
    <w:rsid w:val="00811F8B"/>
    <w:rsid w:val="00824E8A"/>
    <w:rsid w:val="00844043"/>
    <w:rsid w:val="008819D7"/>
    <w:rsid w:val="008A2645"/>
    <w:rsid w:val="008B3E6C"/>
    <w:rsid w:val="008B68DE"/>
    <w:rsid w:val="008C6CAC"/>
    <w:rsid w:val="008D3583"/>
    <w:rsid w:val="008D4F81"/>
    <w:rsid w:val="008E5CA0"/>
    <w:rsid w:val="008F5CEF"/>
    <w:rsid w:val="009030C9"/>
    <w:rsid w:val="009121E5"/>
    <w:rsid w:val="009240BC"/>
    <w:rsid w:val="00931242"/>
    <w:rsid w:val="00946C86"/>
    <w:rsid w:val="00947930"/>
    <w:rsid w:val="00960DEA"/>
    <w:rsid w:val="009613F0"/>
    <w:rsid w:val="00964504"/>
    <w:rsid w:val="0098147F"/>
    <w:rsid w:val="009861D6"/>
    <w:rsid w:val="009948C0"/>
    <w:rsid w:val="009A4BF3"/>
    <w:rsid w:val="009B3D24"/>
    <w:rsid w:val="009C0591"/>
    <w:rsid w:val="009C0AA6"/>
    <w:rsid w:val="009C2153"/>
    <w:rsid w:val="009D1AF2"/>
    <w:rsid w:val="009E2517"/>
    <w:rsid w:val="009E41DE"/>
    <w:rsid w:val="009F2A1F"/>
    <w:rsid w:val="009F3F09"/>
    <w:rsid w:val="009F6B27"/>
    <w:rsid w:val="00A11E60"/>
    <w:rsid w:val="00A30833"/>
    <w:rsid w:val="00A32B5D"/>
    <w:rsid w:val="00A36F66"/>
    <w:rsid w:val="00A40CD7"/>
    <w:rsid w:val="00A4246B"/>
    <w:rsid w:val="00A62612"/>
    <w:rsid w:val="00A7087B"/>
    <w:rsid w:val="00A71EAF"/>
    <w:rsid w:val="00A97D72"/>
    <w:rsid w:val="00AA25CF"/>
    <w:rsid w:val="00AC0253"/>
    <w:rsid w:val="00AC1BF6"/>
    <w:rsid w:val="00AD0A69"/>
    <w:rsid w:val="00AD5CAF"/>
    <w:rsid w:val="00AE39C2"/>
    <w:rsid w:val="00AE75C7"/>
    <w:rsid w:val="00AF175A"/>
    <w:rsid w:val="00AF3B95"/>
    <w:rsid w:val="00AF76AC"/>
    <w:rsid w:val="00B1373B"/>
    <w:rsid w:val="00B338C6"/>
    <w:rsid w:val="00B42412"/>
    <w:rsid w:val="00B50820"/>
    <w:rsid w:val="00B50D2C"/>
    <w:rsid w:val="00B63310"/>
    <w:rsid w:val="00B814E7"/>
    <w:rsid w:val="00B8244F"/>
    <w:rsid w:val="00B937CB"/>
    <w:rsid w:val="00B970B2"/>
    <w:rsid w:val="00BA43B0"/>
    <w:rsid w:val="00BA6C2A"/>
    <w:rsid w:val="00BA7E2E"/>
    <w:rsid w:val="00BC185A"/>
    <w:rsid w:val="00BC2B26"/>
    <w:rsid w:val="00BC678F"/>
    <w:rsid w:val="00BD0A70"/>
    <w:rsid w:val="00BD7CF0"/>
    <w:rsid w:val="00BF6DB1"/>
    <w:rsid w:val="00C30A4B"/>
    <w:rsid w:val="00C41C35"/>
    <w:rsid w:val="00C41D82"/>
    <w:rsid w:val="00C501CE"/>
    <w:rsid w:val="00C54EDA"/>
    <w:rsid w:val="00C7084D"/>
    <w:rsid w:val="00C746B2"/>
    <w:rsid w:val="00C74D4B"/>
    <w:rsid w:val="00C8487F"/>
    <w:rsid w:val="00C916E3"/>
    <w:rsid w:val="00C97900"/>
    <w:rsid w:val="00C97A07"/>
    <w:rsid w:val="00CA5AB6"/>
    <w:rsid w:val="00CB1404"/>
    <w:rsid w:val="00CB1B96"/>
    <w:rsid w:val="00CC6B5C"/>
    <w:rsid w:val="00CD14B2"/>
    <w:rsid w:val="00CD2350"/>
    <w:rsid w:val="00CE11FA"/>
    <w:rsid w:val="00CE5F63"/>
    <w:rsid w:val="00CE649D"/>
    <w:rsid w:val="00CE6847"/>
    <w:rsid w:val="00CF4A4B"/>
    <w:rsid w:val="00D01C9E"/>
    <w:rsid w:val="00D10B90"/>
    <w:rsid w:val="00D17CBA"/>
    <w:rsid w:val="00D212EE"/>
    <w:rsid w:val="00D257D8"/>
    <w:rsid w:val="00D70226"/>
    <w:rsid w:val="00D727B1"/>
    <w:rsid w:val="00D85F0D"/>
    <w:rsid w:val="00D873C4"/>
    <w:rsid w:val="00D90308"/>
    <w:rsid w:val="00D9182E"/>
    <w:rsid w:val="00D97F65"/>
    <w:rsid w:val="00DB1E9A"/>
    <w:rsid w:val="00DB2536"/>
    <w:rsid w:val="00DB34E8"/>
    <w:rsid w:val="00DC0089"/>
    <w:rsid w:val="00DD123A"/>
    <w:rsid w:val="00DD3155"/>
    <w:rsid w:val="00DD416F"/>
    <w:rsid w:val="00DE1E52"/>
    <w:rsid w:val="00DE31AC"/>
    <w:rsid w:val="00DE47F1"/>
    <w:rsid w:val="00E012C4"/>
    <w:rsid w:val="00E03E06"/>
    <w:rsid w:val="00E03EC3"/>
    <w:rsid w:val="00E0599A"/>
    <w:rsid w:val="00E165B8"/>
    <w:rsid w:val="00E21C80"/>
    <w:rsid w:val="00E2255B"/>
    <w:rsid w:val="00E31B1F"/>
    <w:rsid w:val="00E3295B"/>
    <w:rsid w:val="00E43CDC"/>
    <w:rsid w:val="00E5186C"/>
    <w:rsid w:val="00E527AF"/>
    <w:rsid w:val="00E628FF"/>
    <w:rsid w:val="00E65A26"/>
    <w:rsid w:val="00E74357"/>
    <w:rsid w:val="00E84A30"/>
    <w:rsid w:val="00E85F4D"/>
    <w:rsid w:val="00E979B5"/>
    <w:rsid w:val="00EB0ECE"/>
    <w:rsid w:val="00ED00A2"/>
    <w:rsid w:val="00ED1659"/>
    <w:rsid w:val="00ED38BB"/>
    <w:rsid w:val="00ED59C6"/>
    <w:rsid w:val="00EF240F"/>
    <w:rsid w:val="00F01CC7"/>
    <w:rsid w:val="00F101EF"/>
    <w:rsid w:val="00F14694"/>
    <w:rsid w:val="00F15D4A"/>
    <w:rsid w:val="00F200B8"/>
    <w:rsid w:val="00F26EAB"/>
    <w:rsid w:val="00F27785"/>
    <w:rsid w:val="00F307FB"/>
    <w:rsid w:val="00F37F81"/>
    <w:rsid w:val="00F463DB"/>
    <w:rsid w:val="00F50009"/>
    <w:rsid w:val="00F5112F"/>
    <w:rsid w:val="00F52594"/>
    <w:rsid w:val="00F55D25"/>
    <w:rsid w:val="00F57496"/>
    <w:rsid w:val="00F65B72"/>
    <w:rsid w:val="00F65D16"/>
    <w:rsid w:val="00F73346"/>
    <w:rsid w:val="00F8356A"/>
    <w:rsid w:val="00F968CB"/>
    <w:rsid w:val="00FA2B7B"/>
    <w:rsid w:val="00FA70EA"/>
    <w:rsid w:val="00FC5F26"/>
    <w:rsid w:val="00FD0FC0"/>
    <w:rsid w:val="00FD49A1"/>
    <w:rsid w:val="00FF4FCA"/>
    <w:rsid w:val="00FF5626"/>
    <w:rsid w:val="07166561"/>
    <w:rsid w:val="07540874"/>
    <w:rsid w:val="092E16CA"/>
    <w:rsid w:val="0D737F93"/>
    <w:rsid w:val="0FA71817"/>
    <w:rsid w:val="12560D6D"/>
    <w:rsid w:val="14B41897"/>
    <w:rsid w:val="18EB502F"/>
    <w:rsid w:val="1D8556A6"/>
    <w:rsid w:val="202F4018"/>
    <w:rsid w:val="20E34BEC"/>
    <w:rsid w:val="2124533B"/>
    <w:rsid w:val="21F75424"/>
    <w:rsid w:val="257D3FC2"/>
    <w:rsid w:val="27501910"/>
    <w:rsid w:val="2A6C4902"/>
    <w:rsid w:val="2C6633E4"/>
    <w:rsid w:val="2C7D5242"/>
    <w:rsid w:val="30287D68"/>
    <w:rsid w:val="3044134A"/>
    <w:rsid w:val="30C23CC3"/>
    <w:rsid w:val="31BD7341"/>
    <w:rsid w:val="32E42B8F"/>
    <w:rsid w:val="330023E5"/>
    <w:rsid w:val="33B14FA8"/>
    <w:rsid w:val="38C215C7"/>
    <w:rsid w:val="39377C4F"/>
    <w:rsid w:val="39D8166E"/>
    <w:rsid w:val="3C8120C3"/>
    <w:rsid w:val="3EE00BE2"/>
    <w:rsid w:val="40C04D0C"/>
    <w:rsid w:val="46B24444"/>
    <w:rsid w:val="4860491C"/>
    <w:rsid w:val="48747245"/>
    <w:rsid w:val="4C504A80"/>
    <w:rsid w:val="4EF71736"/>
    <w:rsid w:val="4F1A18E6"/>
    <w:rsid w:val="562A5F2C"/>
    <w:rsid w:val="5C944B50"/>
    <w:rsid w:val="5D1842F4"/>
    <w:rsid w:val="5EAF7758"/>
    <w:rsid w:val="5EE97DD5"/>
    <w:rsid w:val="612C3439"/>
    <w:rsid w:val="647611C7"/>
    <w:rsid w:val="65D96386"/>
    <w:rsid w:val="666725AE"/>
    <w:rsid w:val="6806170A"/>
    <w:rsid w:val="68D96E7D"/>
    <w:rsid w:val="6AC6471D"/>
    <w:rsid w:val="6B44699B"/>
    <w:rsid w:val="6C98087F"/>
    <w:rsid w:val="6D67783E"/>
    <w:rsid w:val="6E015CD4"/>
    <w:rsid w:val="6F1A4CD6"/>
    <w:rsid w:val="70F15B71"/>
    <w:rsid w:val="70F963A8"/>
    <w:rsid w:val="72C33A54"/>
    <w:rsid w:val="74185C42"/>
    <w:rsid w:val="75C64141"/>
    <w:rsid w:val="75F24A07"/>
    <w:rsid w:val="79421641"/>
    <w:rsid w:val="79615218"/>
    <w:rsid w:val="7A07126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uiPriority="0" w:unhideWhenUsed="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semiHidden="0"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1"/>
    <w:qFormat/>
    <w:pPr>
      <w:jc w:val="left"/>
    </w:pPr>
    <w:rPr>
      <w:szCs w:val="24"/>
    </w:rPr>
  </w:style>
  <w:style w:type="paragraph" w:styleId="BalloonText">
    <w:name w:val="Balloon Text"/>
    <w:basedOn w:val="Normal"/>
    <w:link w:val="a3"/>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2"/>
    <w:uiPriority w:val="99"/>
    <w:unhideWhenUsed/>
    <w:qFormat/>
    <w:rPr>
      <w:b/>
      <w:bCs/>
      <w:szCs w:val="22"/>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CommentReference">
    <w:name w:val="annotation reference"/>
    <w:basedOn w:val="DefaultParagraphFont"/>
    <w:uiPriority w:val="99"/>
    <w:unhideWhenUsed/>
    <w:qFormat/>
    <w:rPr>
      <w:sz w:val="21"/>
      <w:szCs w:val="21"/>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文字 字符"/>
    <w:basedOn w:val="DefaultParagraphFont"/>
    <w:link w:val="CommentText"/>
    <w:qFormat/>
    <w:rPr>
      <w:szCs w:val="24"/>
    </w:rPr>
  </w:style>
  <w:style w:type="paragraph" w:customStyle="1" w:styleId="1">
    <w:name w:val="列出段落1"/>
    <w:basedOn w:val="Normal"/>
    <w:uiPriority w:val="99"/>
    <w:qFormat/>
    <w:pPr>
      <w:ind w:firstLine="420" w:firstLineChars="200"/>
    </w:pPr>
    <w:rPr>
      <w:szCs w:val="24"/>
    </w:rPr>
  </w:style>
  <w:style w:type="paragraph" w:customStyle="1" w:styleId="10">
    <w:name w:val="列表段落1"/>
    <w:basedOn w:val="Normal"/>
    <w:uiPriority w:val="34"/>
    <w:qFormat/>
    <w:pPr>
      <w:ind w:firstLine="420" w:firstLineChars="200"/>
    </w:pPr>
  </w:style>
  <w:style w:type="character" w:customStyle="1" w:styleId="a2">
    <w:name w:val="批注主题 字符"/>
    <w:basedOn w:val="a1"/>
    <w:link w:val="CommentSubject"/>
    <w:uiPriority w:val="99"/>
    <w:semiHidden/>
    <w:qFormat/>
    <w:rPr>
      <w:b/>
      <w:bCs/>
      <w:szCs w:val="24"/>
    </w:rPr>
  </w:style>
  <w:style w:type="character" w:customStyle="1" w:styleId="a3">
    <w:name w:val="批注框文本 字符"/>
    <w:basedOn w:val="DefaultParagraphFont"/>
    <w:link w:val="BalloonText"/>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92B59-695B-48DF-ABA3-E6C2102EEAF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 艺敏</dc:creator>
  <cp:lastModifiedBy>Esperanza黄 殷</cp:lastModifiedBy>
  <cp:revision>99</cp:revision>
  <dcterms:created xsi:type="dcterms:W3CDTF">2020-04-02T20:40:00Z</dcterms:created>
  <dcterms:modified xsi:type="dcterms:W3CDTF">2021-05-15T09:09:18Z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88BE62BDE1604039AD5F693009789344</vt:lpwstr>
  </property>
  <property fmtid="{D5CDD505-2E9C-101B-9397-08002B2CF9AE}" pid="3" name="KSOProductBuildVer">
    <vt:lpwstr>2052-11.1.0.10495</vt:lpwstr>
  </property>
</Properties>
</file>